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10C68">
      <w:pPr>
        <w:autoSpaceDE w:val="0"/>
        <w:autoSpaceDN w:val="0"/>
        <w:spacing w:line="864" w:lineRule="exact"/>
        <w:ind w:left="144" w:right="144"/>
        <w:jc w:val="center"/>
        <w:rPr>
          <w:rFonts w:hint="eastAsia" w:ascii="nsJR0bAh+SimSun" w:hAnsi="nsJR0bAh+SimSun" w:eastAsia="nsJR0bAh+SimSun"/>
          <w:b/>
          <w:color w:val="000000"/>
          <w:spacing w:val="2"/>
          <w:sz w:val="66"/>
        </w:rPr>
      </w:pPr>
    </w:p>
    <w:p w14:paraId="6945DCB4">
      <w:pPr>
        <w:autoSpaceDE w:val="0"/>
        <w:autoSpaceDN w:val="0"/>
        <w:spacing w:line="864" w:lineRule="exact"/>
        <w:ind w:left="144" w:right="144"/>
        <w:jc w:val="center"/>
        <w:rPr>
          <w:rFonts w:hint="eastAsia" w:ascii="nsJR0bAh+SimSun" w:hAnsi="nsJR0bAh+SimSun" w:eastAsia="nsJR0bAh+SimSun"/>
          <w:b/>
          <w:color w:val="000000"/>
          <w:spacing w:val="2"/>
          <w:sz w:val="66"/>
        </w:rPr>
      </w:pPr>
    </w:p>
    <w:p w14:paraId="3830C6F3">
      <w:pPr>
        <w:autoSpaceDE w:val="0"/>
        <w:autoSpaceDN w:val="0"/>
        <w:spacing w:line="864" w:lineRule="exact"/>
        <w:ind w:left="144" w:right="144"/>
        <w:jc w:val="center"/>
        <w:rPr>
          <w:rFonts w:hint="eastAsia" w:ascii="nsJR0bAh+SimSun" w:hAnsi="nsJR0bAh+SimSun" w:eastAsia="nsJR0bAh+SimSun"/>
          <w:bCs/>
          <w:color w:val="000000"/>
          <w:spacing w:val="2"/>
          <w:sz w:val="66"/>
        </w:rPr>
      </w:pPr>
    </w:p>
    <w:p w14:paraId="424D1EC9">
      <w:pPr>
        <w:autoSpaceDE w:val="0"/>
        <w:autoSpaceDN w:val="0"/>
        <w:spacing w:line="864" w:lineRule="exact"/>
        <w:ind w:left="144" w:right="144"/>
        <w:jc w:val="center"/>
        <w:rPr>
          <w:rFonts w:hint="eastAsia" w:ascii="nsJR0bAh+SimSun" w:hAnsi="nsJR0bAh+SimSun" w:eastAsia="nsJR0bAh+SimSun"/>
          <w:bCs/>
          <w:color w:val="000000"/>
          <w:spacing w:val="2"/>
          <w:sz w:val="48"/>
          <w:szCs w:val="20"/>
        </w:rPr>
      </w:pPr>
      <w:r>
        <w:rPr>
          <w:rFonts w:hint="eastAsia" w:ascii="nsJR0bAh+SimSun" w:hAnsi="nsJR0bAh+SimSun" w:eastAsia="nsJR0bAh+SimSun"/>
          <w:bCs/>
          <w:color w:val="000000"/>
          <w:spacing w:val="2"/>
          <w:sz w:val="48"/>
          <w:szCs w:val="20"/>
        </w:rPr>
        <w:t>网络安全服务</w:t>
      </w:r>
      <w:r>
        <w:rPr>
          <w:rFonts w:ascii="nsJR0bAh+SimSun" w:hAnsi="nsJR0bAh+SimSun" w:eastAsia="nsJR0bAh+SimSun"/>
          <w:bCs/>
          <w:color w:val="000000"/>
          <w:spacing w:val="2"/>
          <w:sz w:val="48"/>
          <w:szCs w:val="20"/>
        </w:rPr>
        <w:t>项目</w:t>
      </w:r>
      <w:r>
        <w:rPr>
          <w:rFonts w:hint="eastAsia" w:ascii="nsJR0bAh+SimSun" w:hAnsi="nsJR0bAh+SimSun" w:eastAsia="nsJR0bAh+SimSun"/>
          <w:bCs/>
          <w:color w:val="000000"/>
          <w:spacing w:val="2"/>
          <w:sz w:val="48"/>
          <w:szCs w:val="20"/>
        </w:rPr>
        <w:t>2024</w:t>
      </w:r>
    </w:p>
    <w:p w14:paraId="23A2DBF0">
      <w:pPr>
        <w:autoSpaceDE w:val="0"/>
        <w:autoSpaceDN w:val="0"/>
        <w:spacing w:line="864" w:lineRule="exact"/>
        <w:ind w:left="144" w:right="144"/>
        <w:jc w:val="center"/>
        <w:rPr>
          <w:rFonts w:hint="eastAsia" w:ascii="nsJR0bAh+SimSun" w:hAnsi="nsJR0bAh+SimSun" w:eastAsia="nsJR0bAh+SimSun"/>
          <w:bCs/>
          <w:color w:val="000000"/>
          <w:spacing w:val="2"/>
          <w:sz w:val="48"/>
          <w:szCs w:val="20"/>
        </w:rPr>
      </w:pPr>
      <w:r>
        <w:rPr>
          <w:rFonts w:ascii="nsJR0bAh+SimSun" w:hAnsi="nsJR0bAh+SimSun" w:eastAsia="nsJR0bAh+SimSun"/>
          <w:bCs/>
          <w:color w:val="000000"/>
          <w:spacing w:val="2"/>
          <w:sz w:val="48"/>
          <w:szCs w:val="20"/>
        </w:rPr>
        <w:t>用户</w:t>
      </w:r>
      <w:r>
        <w:rPr>
          <w:rFonts w:hint="eastAsia" w:ascii="nsJR0bAh+SimSun" w:hAnsi="nsJR0bAh+SimSun" w:eastAsia="nsJR0bAh+SimSun"/>
          <w:bCs/>
          <w:color w:val="000000"/>
          <w:spacing w:val="2"/>
          <w:sz w:val="48"/>
          <w:szCs w:val="20"/>
        </w:rPr>
        <w:t>初步</w:t>
      </w:r>
      <w:r>
        <w:rPr>
          <w:rFonts w:ascii="nsJR0bAh+SimSun" w:hAnsi="nsJR0bAh+SimSun" w:eastAsia="nsJR0bAh+SimSun"/>
          <w:bCs/>
          <w:color w:val="000000"/>
          <w:spacing w:val="2"/>
          <w:sz w:val="48"/>
          <w:szCs w:val="20"/>
        </w:rPr>
        <w:t>需求书</w:t>
      </w:r>
    </w:p>
    <w:p w14:paraId="39DC54A3">
      <w:pPr>
        <w:autoSpaceDE w:val="0"/>
        <w:autoSpaceDN w:val="0"/>
        <w:spacing w:line="864" w:lineRule="exact"/>
        <w:ind w:left="144" w:right="144"/>
        <w:jc w:val="center"/>
        <w:rPr>
          <w:rFonts w:hint="eastAsia" w:ascii="nsJR0bAh+SimSun" w:hAnsi="nsJR0bAh+SimSun" w:eastAsia="nsJR0bAh+SimSun"/>
          <w:bCs/>
          <w:color w:val="000000"/>
          <w:spacing w:val="2"/>
          <w:sz w:val="48"/>
          <w:szCs w:val="20"/>
        </w:rPr>
      </w:pPr>
    </w:p>
    <w:p w14:paraId="54A7D1DF">
      <w:pPr>
        <w:autoSpaceDE w:val="0"/>
        <w:autoSpaceDN w:val="0"/>
        <w:spacing w:line="864" w:lineRule="exact"/>
        <w:ind w:left="144" w:right="144"/>
        <w:jc w:val="center"/>
        <w:rPr>
          <w:rFonts w:hint="eastAsia" w:ascii="nsJR0bAh+SimSun" w:hAnsi="nsJR0bAh+SimSun" w:eastAsia="nsJR0bAh+SimSun"/>
          <w:bCs/>
          <w:color w:val="000000"/>
          <w:spacing w:val="2"/>
          <w:sz w:val="48"/>
          <w:szCs w:val="20"/>
        </w:rPr>
      </w:pPr>
    </w:p>
    <w:p w14:paraId="452B3DFD">
      <w:pPr>
        <w:autoSpaceDE w:val="0"/>
        <w:autoSpaceDN w:val="0"/>
        <w:spacing w:line="864" w:lineRule="exact"/>
        <w:ind w:left="144" w:right="144"/>
        <w:jc w:val="center"/>
        <w:rPr>
          <w:rFonts w:hint="eastAsia" w:ascii="nsJR0bAh+SimSun" w:hAnsi="nsJR0bAh+SimSun" w:eastAsia="nsJR0bAh+SimSun"/>
          <w:bCs/>
          <w:color w:val="000000"/>
          <w:spacing w:val="2"/>
          <w:sz w:val="48"/>
          <w:szCs w:val="20"/>
        </w:rPr>
      </w:pPr>
    </w:p>
    <w:p w14:paraId="26F5F4EB">
      <w:pPr>
        <w:autoSpaceDE w:val="0"/>
        <w:autoSpaceDN w:val="0"/>
        <w:spacing w:line="864" w:lineRule="exact"/>
        <w:ind w:left="144" w:right="144"/>
        <w:jc w:val="center"/>
        <w:rPr>
          <w:rFonts w:hint="eastAsia" w:ascii="nsJR0bAh+SimSun" w:hAnsi="nsJR0bAh+SimSun" w:eastAsia="nsJR0bAh+SimSun"/>
          <w:bCs/>
          <w:color w:val="000000"/>
          <w:spacing w:val="2"/>
          <w:sz w:val="48"/>
          <w:szCs w:val="20"/>
        </w:rPr>
      </w:pPr>
    </w:p>
    <w:p w14:paraId="44C1A553">
      <w:pPr>
        <w:pStyle w:val="8"/>
        <w:rPr>
          <w:rFonts w:hint="eastAsia"/>
        </w:rPr>
      </w:pPr>
    </w:p>
    <w:p w14:paraId="53F045B5">
      <w:pPr>
        <w:autoSpaceDE w:val="0"/>
        <w:autoSpaceDN w:val="0"/>
        <w:spacing w:line="864" w:lineRule="exact"/>
        <w:ind w:left="144" w:right="144"/>
        <w:jc w:val="center"/>
        <w:rPr>
          <w:rFonts w:hint="eastAsia" w:ascii="nsJR0bAh+SimSun" w:hAnsi="nsJR0bAh+SimSun" w:eastAsia="nsJR0bAh+SimSun"/>
          <w:bCs/>
          <w:color w:val="000000"/>
          <w:spacing w:val="2"/>
          <w:sz w:val="48"/>
          <w:szCs w:val="20"/>
        </w:rPr>
      </w:pPr>
    </w:p>
    <w:p w14:paraId="43AF0174">
      <w:pPr>
        <w:rPr>
          <w:rFonts w:hint="eastAsia"/>
        </w:rPr>
      </w:pPr>
    </w:p>
    <w:p w14:paraId="2BD78AAB">
      <w:pPr>
        <w:spacing w:line="570" w:lineRule="exact"/>
        <w:ind w:firstLine="420"/>
        <w:rPr>
          <w:rFonts w:hint="eastAsia"/>
          <w:sz w:val="32"/>
          <w:szCs w:val="32"/>
        </w:rPr>
      </w:pPr>
      <w:r>
        <w:br w:type="page"/>
      </w:r>
    </w:p>
    <w:p w14:paraId="06EF9F8F">
      <w:pPr>
        <w:pStyle w:val="2"/>
        <w:numPr>
          <w:ilvl w:val="0"/>
          <w:numId w:val="1"/>
        </w:numPr>
        <w:rPr>
          <w:rFonts w:hint="eastAsia"/>
        </w:rPr>
      </w:pPr>
      <w:r>
        <w:t>项目概况</w:t>
      </w:r>
    </w:p>
    <w:p w14:paraId="31C8F7D5">
      <w:pPr>
        <w:spacing w:line="360" w:lineRule="auto"/>
        <w:ind w:firstLine="480" w:firstLineChars="200"/>
        <w:rPr>
          <w:rFonts w:hint="eastAsia"/>
          <w:szCs w:val="21"/>
        </w:rPr>
      </w:pPr>
      <w:r>
        <w:rPr>
          <w:rFonts w:hint="eastAsia"/>
          <w:szCs w:val="21"/>
        </w:rPr>
        <w:t>为继续深化并认真落实我院网络安全各项规划工作，结合我院现有信息化现状，本次项目主要以优化网络架构、补强网络安全防护能力、建立长效的安全服务机制为主要目标，通过此次项目建设进一步提升我院网络安全整体防护能力。</w:t>
      </w:r>
    </w:p>
    <w:p w14:paraId="05D879C7">
      <w:pPr>
        <w:rPr>
          <w:rFonts w:hint="eastAsia"/>
        </w:rPr>
      </w:pPr>
    </w:p>
    <w:tbl>
      <w:tblPr>
        <w:tblStyle w:val="10"/>
        <w:tblW w:w="9234" w:type="dxa"/>
        <w:jc w:val="center"/>
        <w:tblLayout w:type="fixed"/>
        <w:tblCellMar>
          <w:top w:w="0" w:type="dxa"/>
          <w:left w:w="108" w:type="dxa"/>
          <w:bottom w:w="0" w:type="dxa"/>
          <w:right w:w="108" w:type="dxa"/>
        </w:tblCellMar>
      </w:tblPr>
      <w:tblGrid>
        <w:gridCol w:w="3115"/>
        <w:gridCol w:w="2255"/>
        <w:gridCol w:w="3864"/>
      </w:tblGrid>
      <w:tr w14:paraId="2AA32AD6">
        <w:tblPrEx>
          <w:tblCellMar>
            <w:top w:w="0" w:type="dxa"/>
            <w:left w:w="108" w:type="dxa"/>
            <w:bottom w:w="0" w:type="dxa"/>
            <w:right w:w="108" w:type="dxa"/>
          </w:tblCellMar>
        </w:tblPrEx>
        <w:trPr>
          <w:trHeight w:val="484" w:hRule="exact"/>
          <w:jc w:val="center"/>
        </w:trPr>
        <w:tc>
          <w:tcPr>
            <w:tcW w:w="3115" w:type="dxa"/>
            <w:tcBorders>
              <w:top w:val="single" w:color="000000" w:sz="4" w:space="0"/>
              <w:left w:val="single" w:color="000000" w:sz="2" w:space="0"/>
              <w:bottom w:val="single" w:color="000000" w:sz="4" w:space="0"/>
              <w:right w:val="single" w:color="000000" w:sz="4" w:space="0"/>
            </w:tcBorders>
            <w:tcMar>
              <w:left w:w="0" w:type="dxa"/>
              <w:right w:w="0" w:type="dxa"/>
            </w:tcMar>
            <w:vAlign w:val="center"/>
          </w:tcPr>
          <w:p w14:paraId="5CC48123">
            <w:pPr>
              <w:jc w:val="center"/>
              <w:rPr>
                <w:rFonts w:hint="eastAsia"/>
              </w:rPr>
            </w:pPr>
            <w:r>
              <w:rPr>
                <w:rFonts w:hint="eastAsia"/>
                <w:b/>
                <w:bCs/>
              </w:rPr>
              <w:t>拟调研项目</w:t>
            </w:r>
          </w:p>
        </w:tc>
        <w:tc>
          <w:tcPr>
            <w:tcW w:w="225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99AFE3E">
            <w:pPr>
              <w:jc w:val="center"/>
              <w:rPr>
                <w:rFonts w:hint="eastAsia"/>
              </w:rPr>
            </w:pPr>
            <w:r>
              <w:rPr>
                <w:b/>
                <w:bCs/>
              </w:rPr>
              <w:t>最高限价（人民币）</w:t>
            </w:r>
          </w:p>
        </w:tc>
        <w:tc>
          <w:tcPr>
            <w:tcW w:w="3864" w:type="dxa"/>
            <w:tcBorders>
              <w:top w:val="single" w:color="000000" w:sz="4" w:space="0"/>
              <w:left w:val="single" w:color="000000" w:sz="4" w:space="0"/>
              <w:bottom w:val="single" w:color="000000" w:sz="4" w:space="0"/>
              <w:right w:val="single" w:color="000000" w:sz="2" w:space="0"/>
            </w:tcBorders>
            <w:tcMar>
              <w:left w:w="0" w:type="dxa"/>
              <w:right w:w="0" w:type="dxa"/>
            </w:tcMar>
            <w:vAlign w:val="center"/>
          </w:tcPr>
          <w:p w14:paraId="4A188B41">
            <w:pPr>
              <w:jc w:val="center"/>
              <w:rPr>
                <w:rFonts w:hint="eastAsia"/>
              </w:rPr>
            </w:pPr>
            <w:r>
              <w:rPr>
                <w:b/>
                <w:bCs/>
              </w:rPr>
              <w:t>交付时间</w:t>
            </w:r>
          </w:p>
        </w:tc>
      </w:tr>
      <w:tr w14:paraId="00E723C6">
        <w:tblPrEx>
          <w:tblCellMar>
            <w:top w:w="0" w:type="dxa"/>
            <w:left w:w="108" w:type="dxa"/>
            <w:bottom w:w="0" w:type="dxa"/>
            <w:right w:w="108" w:type="dxa"/>
          </w:tblCellMar>
        </w:tblPrEx>
        <w:trPr>
          <w:trHeight w:val="996" w:hRule="exact"/>
          <w:jc w:val="center"/>
        </w:trPr>
        <w:tc>
          <w:tcPr>
            <w:tcW w:w="3115" w:type="dxa"/>
            <w:tcBorders>
              <w:top w:val="single" w:color="000000" w:sz="4" w:space="0"/>
              <w:left w:val="single" w:color="000000" w:sz="2" w:space="0"/>
              <w:bottom w:val="single" w:color="000000" w:sz="2" w:space="0"/>
              <w:right w:val="single" w:color="000000" w:sz="4" w:space="0"/>
            </w:tcBorders>
            <w:tcMar>
              <w:left w:w="0" w:type="dxa"/>
              <w:right w:w="0" w:type="dxa"/>
            </w:tcMar>
            <w:vAlign w:val="center"/>
          </w:tcPr>
          <w:p w14:paraId="50AF0EA3">
            <w:pPr>
              <w:jc w:val="center"/>
              <w:rPr>
                <w:rFonts w:hint="eastAsia"/>
              </w:rPr>
            </w:pPr>
            <w:r>
              <w:rPr>
                <w:rFonts w:hint="eastAsia"/>
              </w:rPr>
              <w:t>信息安全服务2024</w:t>
            </w:r>
          </w:p>
        </w:tc>
        <w:tc>
          <w:tcPr>
            <w:tcW w:w="2255" w:type="dxa"/>
            <w:tcBorders>
              <w:top w:val="single" w:color="000000" w:sz="4" w:space="0"/>
              <w:left w:val="single" w:color="000000" w:sz="4" w:space="0"/>
              <w:bottom w:val="single" w:color="000000" w:sz="2" w:space="0"/>
              <w:right w:val="single" w:color="000000" w:sz="4" w:space="0"/>
            </w:tcBorders>
            <w:tcMar>
              <w:left w:w="0" w:type="dxa"/>
              <w:right w:w="0" w:type="dxa"/>
            </w:tcMar>
            <w:vAlign w:val="center"/>
          </w:tcPr>
          <w:p w14:paraId="66D15436">
            <w:pPr>
              <w:jc w:val="center"/>
              <w:rPr>
                <w:rFonts w:hint="eastAsia"/>
              </w:rPr>
            </w:pPr>
            <w:r>
              <w:rPr>
                <w:rFonts w:hint="eastAsia"/>
              </w:rPr>
              <w:t>200万元</w:t>
            </w:r>
          </w:p>
        </w:tc>
        <w:tc>
          <w:tcPr>
            <w:tcW w:w="3864" w:type="dxa"/>
            <w:tcBorders>
              <w:top w:val="single" w:color="000000" w:sz="4" w:space="0"/>
              <w:left w:val="single" w:color="000000" w:sz="4" w:space="0"/>
              <w:bottom w:val="single" w:color="000000" w:sz="2" w:space="0"/>
              <w:right w:val="single" w:color="000000" w:sz="2" w:space="0"/>
            </w:tcBorders>
            <w:tcMar>
              <w:left w:w="0" w:type="dxa"/>
              <w:right w:w="0" w:type="dxa"/>
            </w:tcMar>
            <w:vAlign w:val="center"/>
          </w:tcPr>
          <w:p w14:paraId="07988306">
            <w:pPr>
              <w:jc w:val="both"/>
              <w:rPr>
                <w:rFonts w:hint="eastAsia"/>
              </w:rPr>
            </w:pPr>
            <w:r>
              <w:t>自合同签订之日起</w:t>
            </w:r>
            <w:r>
              <w:rPr>
                <w:rFonts w:hint="eastAsia"/>
              </w:rPr>
              <w:t>3个月内完成软硬件产品的部署实施交付，1年内</w:t>
            </w:r>
            <w:r>
              <w:t>完成</w:t>
            </w:r>
            <w:r>
              <w:rPr>
                <w:rFonts w:hint="eastAsia"/>
              </w:rPr>
              <w:t>相关安全服务</w:t>
            </w:r>
            <w:r>
              <w:t>。</w:t>
            </w:r>
          </w:p>
        </w:tc>
      </w:tr>
    </w:tbl>
    <w:p w14:paraId="3E5404F3">
      <w:pPr>
        <w:pStyle w:val="2"/>
        <w:rPr>
          <w:rFonts w:hint="eastAsia"/>
        </w:rPr>
      </w:pPr>
      <w:r>
        <w:t xml:space="preserve">二、 </w:t>
      </w:r>
      <w:r>
        <w:rPr>
          <w:rFonts w:hint="eastAsia"/>
        </w:rPr>
        <w:t>拟调研</w:t>
      </w:r>
      <w:r>
        <w:t>内容</w:t>
      </w:r>
    </w:p>
    <w:tbl>
      <w:tblPr>
        <w:tblStyle w:val="10"/>
        <w:tblW w:w="10352" w:type="dxa"/>
        <w:jc w:val="center"/>
        <w:tblLayout w:type="fixed"/>
        <w:tblCellMar>
          <w:top w:w="0" w:type="dxa"/>
          <w:left w:w="108" w:type="dxa"/>
          <w:bottom w:w="0" w:type="dxa"/>
          <w:right w:w="108" w:type="dxa"/>
        </w:tblCellMar>
      </w:tblPr>
      <w:tblGrid>
        <w:gridCol w:w="847"/>
        <w:gridCol w:w="1701"/>
        <w:gridCol w:w="4446"/>
        <w:gridCol w:w="705"/>
        <w:gridCol w:w="720"/>
        <w:gridCol w:w="1933"/>
      </w:tblGrid>
      <w:tr w14:paraId="399F7548">
        <w:tblPrEx>
          <w:tblCellMar>
            <w:top w:w="0" w:type="dxa"/>
            <w:left w:w="108" w:type="dxa"/>
            <w:bottom w:w="0" w:type="dxa"/>
            <w:right w:w="108" w:type="dxa"/>
          </w:tblCellMar>
        </w:tblPrEx>
        <w:trPr>
          <w:trHeight w:val="524"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84EA397">
            <w:pPr>
              <w:jc w:val="center"/>
              <w:rPr>
                <w:rFonts w:hint="eastAsia"/>
                <w:b/>
                <w:bCs/>
                <w:highlight w:val="none"/>
              </w:rPr>
            </w:pPr>
            <w:r>
              <w:rPr>
                <w:b/>
                <w:bCs/>
                <w:highlight w:val="none"/>
              </w:rPr>
              <w:t>序号</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BE69778">
            <w:pPr>
              <w:jc w:val="center"/>
              <w:rPr>
                <w:rFonts w:hint="eastAsia"/>
                <w:b/>
                <w:bCs/>
                <w:highlight w:val="none"/>
              </w:rPr>
            </w:pPr>
            <w:r>
              <w:rPr>
                <w:b/>
                <w:bCs/>
                <w:highlight w:val="none"/>
              </w:rPr>
              <w:t>项目</w:t>
            </w:r>
          </w:p>
        </w:tc>
        <w:tc>
          <w:tcPr>
            <w:tcW w:w="444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84DB89A">
            <w:pPr>
              <w:jc w:val="center"/>
              <w:rPr>
                <w:rFonts w:hint="eastAsia"/>
                <w:b/>
                <w:bCs/>
                <w:highlight w:val="none"/>
              </w:rPr>
            </w:pPr>
            <w:r>
              <w:rPr>
                <w:b/>
                <w:bCs/>
                <w:highlight w:val="none"/>
              </w:rPr>
              <w:t>技术参数</w:t>
            </w:r>
          </w:p>
        </w:tc>
        <w:tc>
          <w:tcPr>
            <w:tcW w:w="70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8AFB5E5">
            <w:pPr>
              <w:jc w:val="center"/>
              <w:rPr>
                <w:rFonts w:hint="eastAsia"/>
                <w:b/>
                <w:bCs/>
                <w:highlight w:val="none"/>
              </w:rPr>
            </w:pPr>
            <w:r>
              <w:rPr>
                <w:b/>
                <w:bCs/>
                <w:highlight w:val="none"/>
              </w:rPr>
              <w:t>数量</w:t>
            </w:r>
          </w:p>
        </w:tc>
        <w:tc>
          <w:tcPr>
            <w:tcW w:w="7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7E21D1D">
            <w:pPr>
              <w:jc w:val="center"/>
              <w:rPr>
                <w:rFonts w:hint="eastAsia"/>
                <w:b/>
                <w:bCs/>
                <w:highlight w:val="none"/>
              </w:rPr>
            </w:pPr>
            <w:r>
              <w:rPr>
                <w:b/>
                <w:bCs/>
                <w:highlight w:val="none"/>
              </w:rPr>
              <w:t>单位</w:t>
            </w:r>
          </w:p>
        </w:tc>
        <w:tc>
          <w:tcPr>
            <w:tcW w:w="1933"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8838C06">
            <w:pPr>
              <w:jc w:val="center"/>
              <w:rPr>
                <w:rFonts w:hint="eastAsia"/>
                <w:b/>
                <w:bCs/>
                <w:highlight w:val="none"/>
              </w:rPr>
            </w:pPr>
            <w:r>
              <w:rPr>
                <w:rFonts w:hint="eastAsia"/>
                <w:b/>
                <w:bCs/>
                <w:highlight w:val="none"/>
              </w:rPr>
              <w:t>备注</w:t>
            </w:r>
          </w:p>
        </w:tc>
      </w:tr>
      <w:tr w14:paraId="0D843DFD">
        <w:tblPrEx>
          <w:tblCellMar>
            <w:top w:w="0" w:type="dxa"/>
            <w:left w:w="108" w:type="dxa"/>
            <w:bottom w:w="0" w:type="dxa"/>
            <w:right w:w="108" w:type="dxa"/>
          </w:tblCellMar>
        </w:tblPrEx>
        <w:trPr>
          <w:trHeight w:val="2023"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3E6BCB8">
            <w:pPr>
              <w:jc w:val="center"/>
              <w:rPr>
                <w:rFonts w:hint="eastAsia" w:eastAsia="宋体"/>
                <w:highlight w:val="none"/>
                <w:lang w:eastAsia="zh-CN"/>
              </w:rPr>
            </w:pPr>
            <w:r>
              <w:rPr>
                <w:rFonts w:hint="eastAsia"/>
                <w:highlight w:val="none"/>
                <w:lang w:val="en-US" w:eastAsia="zh-CN"/>
              </w:rPr>
              <w:t>1</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65E2A6EC">
            <w:pPr>
              <w:rPr>
                <w:rFonts w:hint="eastAsia"/>
                <w:highlight w:val="none"/>
              </w:rPr>
            </w:pPr>
            <w:r>
              <w:rPr>
                <w:rFonts w:hint="eastAsia"/>
                <w:highlight w:val="none"/>
              </w:rPr>
              <w:t>安全服务</w:t>
            </w:r>
            <w:r>
              <w:rPr>
                <w:rFonts w:hint="eastAsia"/>
                <w:highlight w:val="none"/>
                <w:lang w:val="en-US" w:eastAsia="zh-CN"/>
              </w:rPr>
              <w:t>1</w:t>
            </w:r>
            <w:r>
              <w:rPr>
                <w:rFonts w:hint="eastAsia"/>
                <w:highlight w:val="none"/>
              </w:rPr>
              <w:t>：渗透测试</w:t>
            </w:r>
          </w:p>
        </w:tc>
        <w:tc>
          <w:tcPr>
            <w:tcW w:w="444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32AA1E5">
            <w:pPr>
              <w:rPr>
                <w:rFonts w:hint="eastAsia"/>
                <w:highlight w:val="none"/>
              </w:rPr>
            </w:pPr>
            <w:r>
              <w:rPr>
                <w:rFonts w:hint="eastAsia"/>
                <w:highlight w:val="none"/>
              </w:rPr>
              <w:t>以主流渗透工具模拟黑客攻击为主要手段，发现常见的高中危漏洞为主要目标，将发现的安全漏洞进行整理，给出详细说明，并针对每一安全漏洞提供相应的解决方法。并结合医院修复情况，协助医院针对修复后的漏洞进行复测验证。</w:t>
            </w:r>
          </w:p>
        </w:tc>
        <w:tc>
          <w:tcPr>
            <w:tcW w:w="70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591B930">
            <w:pPr>
              <w:jc w:val="center"/>
              <w:rPr>
                <w:rFonts w:hint="eastAsia"/>
                <w:highlight w:val="none"/>
              </w:rPr>
            </w:pPr>
            <w:r>
              <w:rPr>
                <w:highlight w:val="none"/>
              </w:rPr>
              <w:t>1</w:t>
            </w:r>
          </w:p>
        </w:tc>
        <w:tc>
          <w:tcPr>
            <w:tcW w:w="7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27A4EF6">
            <w:pPr>
              <w:jc w:val="center"/>
              <w:rPr>
                <w:rFonts w:hint="eastAsia"/>
                <w:highlight w:val="none"/>
              </w:rPr>
            </w:pPr>
            <w:r>
              <w:rPr>
                <w:highlight w:val="none"/>
              </w:rPr>
              <w:t>项</w:t>
            </w:r>
          </w:p>
        </w:tc>
        <w:tc>
          <w:tcPr>
            <w:tcW w:w="1933"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9341C1E">
            <w:pPr>
              <w:rPr>
                <w:rFonts w:hint="eastAsia"/>
                <w:highlight w:val="none"/>
              </w:rPr>
            </w:pPr>
            <w:r>
              <w:rPr>
                <w:rFonts w:hint="eastAsia"/>
                <w:highlight w:val="none"/>
              </w:rPr>
              <w:t>目前医院对外映射的各类api、web+门户等共计90余个</w:t>
            </w:r>
          </w:p>
          <w:p w14:paraId="1F278231">
            <w:pPr>
              <w:rPr>
                <w:rFonts w:hint="eastAsia"/>
                <w:highlight w:val="none"/>
              </w:rPr>
            </w:pPr>
            <w:r>
              <w:rPr>
                <w:rFonts w:hint="eastAsia"/>
                <w:highlight w:val="none"/>
              </w:rPr>
              <w:t>1年，2次</w:t>
            </w:r>
          </w:p>
          <w:p w14:paraId="49BA5CBB">
            <w:pPr>
              <w:pStyle w:val="2"/>
              <w:rPr>
                <w:rFonts w:hint="eastAsia"/>
                <w:highlight w:val="none"/>
              </w:rPr>
            </w:pPr>
          </w:p>
        </w:tc>
      </w:tr>
      <w:tr w14:paraId="6EE834CB">
        <w:tblPrEx>
          <w:tblCellMar>
            <w:top w:w="0" w:type="dxa"/>
            <w:left w:w="108" w:type="dxa"/>
            <w:bottom w:w="0" w:type="dxa"/>
            <w:right w:w="108" w:type="dxa"/>
          </w:tblCellMar>
        </w:tblPrEx>
        <w:trPr>
          <w:trHeight w:val="2613"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54AD466">
            <w:pPr>
              <w:jc w:val="center"/>
              <w:rPr>
                <w:rFonts w:hint="eastAsia" w:eastAsia="宋体"/>
                <w:highlight w:val="none"/>
                <w:lang w:eastAsia="zh-CN"/>
              </w:rPr>
            </w:pPr>
            <w:r>
              <w:rPr>
                <w:rFonts w:hint="eastAsia"/>
                <w:highlight w:val="none"/>
                <w:lang w:val="en-US" w:eastAsia="zh-CN"/>
              </w:rPr>
              <w:t>2</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2C31D74">
            <w:pPr>
              <w:rPr>
                <w:rFonts w:hint="eastAsia"/>
                <w:highlight w:val="none"/>
              </w:rPr>
            </w:pPr>
            <w:r>
              <w:rPr>
                <w:rFonts w:hint="eastAsia"/>
                <w:highlight w:val="none"/>
              </w:rPr>
              <w:t>安全服务</w:t>
            </w:r>
            <w:r>
              <w:rPr>
                <w:rFonts w:hint="eastAsia"/>
                <w:highlight w:val="none"/>
                <w:lang w:val="en-US" w:eastAsia="zh-CN"/>
              </w:rPr>
              <w:t>2</w:t>
            </w:r>
            <w:r>
              <w:rPr>
                <w:rFonts w:hint="eastAsia"/>
                <w:highlight w:val="none"/>
              </w:rPr>
              <w:t>：红队测试</w:t>
            </w:r>
          </w:p>
        </w:tc>
        <w:tc>
          <w:tcPr>
            <w:tcW w:w="444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24DC128">
            <w:pPr>
              <w:rPr>
                <w:rFonts w:hint="eastAsia"/>
                <w:highlight w:val="none"/>
              </w:rPr>
            </w:pPr>
            <w:r>
              <w:rPr>
                <w:rFonts w:hint="eastAsia"/>
                <w:highlight w:val="none"/>
              </w:rPr>
              <w:t>以APT攻击者视角对医院目前现有防御措施进行深度渗透测试，对目标系统、人员、软硬件设备、基础架构，进行多维度、多手段、对抗性模拟攻击，旨在发现可能被入侵的薄弱点，并以此为跳板将攻击渗透结果最大化（包括系统提权、控制业务、获取信息），进而检验现有防御体系的短板。</w:t>
            </w:r>
          </w:p>
        </w:tc>
        <w:tc>
          <w:tcPr>
            <w:tcW w:w="70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BF80974">
            <w:pPr>
              <w:jc w:val="center"/>
              <w:rPr>
                <w:rFonts w:hint="eastAsia"/>
                <w:highlight w:val="none"/>
              </w:rPr>
            </w:pPr>
            <w:r>
              <w:rPr>
                <w:highlight w:val="none"/>
              </w:rPr>
              <w:t>1</w:t>
            </w:r>
          </w:p>
        </w:tc>
        <w:tc>
          <w:tcPr>
            <w:tcW w:w="7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58F6C86">
            <w:pPr>
              <w:jc w:val="center"/>
              <w:rPr>
                <w:rFonts w:hint="eastAsia"/>
                <w:highlight w:val="none"/>
              </w:rPr>
            </w:pPr>
            <w:r>
              <w:rPr>
                <w:highlight w:val="none"/>
              </w:rPr>
              <w:t>项</w:t>
            </w:r>
          </w:p>
        </w:tc>
        <w:tc>
          <w:tcPr>
            <w:tcW w:w="1933"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A43322A">
            <w:pPr>
              <w:jc w:val="center"/>
              <w:rPr>
                <w:rFonts w:hint="eastAsia"/>
                <w:highlight w:val="none"/>
              </w:rPr>
            </w:pPr>
            <w:r>
              <w:rPr>
                <w:rFonts w:hint="eastAsia"/>
                <w:highlight w:val="none"/>
              </w:rPr>
              <w:t>1年，2次</w:t>
            </w:r>
          </w:p>
        </w:tc>
      </w:tr>
      <w:tr w14:paraId="0ECF8C6F">
        <w:tblPrEx>
          <w:tblCellMar>
            <w:top w:w="0" w:type="dxa"/>
            <w:left w:w="108" w:type="dxa"/>
            <w:bottom w:w="0" w:type="dxa"/>
            <w:right w:w="108" w:type="dxa"/>
          </w:tblCellMar>
        </w:tblPrEx>
        <w:trPr>
          <w:trHeight w:val="1608"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D3E5125">
            <w:pPr>
              <w:jc w:val="center"/>
              <w:rPr>
                <w:rFonts w:hint="eastAsia" w:eastAsia="宋体"/>
                <w:highlight w:val="none"/>
                <w:lang w:eastAsia="zh-CN"/>
              </w:rPr>
            </w:pPr>
            <w:r>
              <w:rPr>
                <w:rFonts w:hint="eastAsia"/>
                <w:highlight w:val="none"/>
                <w:lang w:val="en-US" w:eastAsia="zh-CN"/>
              </w:rPr>
              <w:t>3</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ABBECF5">
            <w:pPr>
              <w:rPr>
                <w:rFonts w:hint="eastAsia"/>
                <w:highlight w:val="none"/>
              </w:rPr>
            </w:pPr>
            <w:r>
              <w:rPr>
                <w:rFonts w:hint="eastAsia"/>
                <w:highlight w:val="none"/>
              </w:rPr>
              <w:t>安全服务</w:t>
            </w:r>
            <w:r>
              <w:rPr>
                <w:rFonts w:hint="eastAsia"/>
                <w:highlight w:val="none"/>
                <w:lang w:val="en-US" w:eastAsia="zh-CN"/>
              </w:rPr>
              <w:t>3</w:t>
            </w:r>
            <w:r>
              <w:rPr>
                <w:rFonts w:hint="eastAsia"/>
                <w:highlight w:val="none"/>
              </w:rPr>
              <w:t>：漏洞扫描</w:t>
            </w:r>
          </w:p>
        </w:tc>
        <w:tc>
          <w:tcPr>
            <w:tcW w:w="444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67E37C9">
            <w:pPr>
              <w:rPr>
                <w:rFonts w:hint="eastAsia"/>
                <w:highlight w:val="none"/>
              </w:rPr>
            </w:pPr>
            <w:r>
              <w:rPr>
                <w:rFonts w:hint="eastAsia"/>
                <w:highlight w:val="none"/>
              </w:rPr>
              <w:t>使用系统漏洞扫描工具对 数据库、操作系统、中间件等进行漏洞、端口、弱口令扫描，扫描完成后由技术人员对漏洞进行确认测试，提出整改建议，协助开发人员整改。</w:t>
            </w:r>
          </w:p>
        </w:tc>
        <w:tc>
          <w:tcPr>
            <w:tcW w:w="70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32F107B">
            <w:pPr>
              <w:jc w:val="center"/>
              <w:rPr>
                <w:rFonts w:hint="eastAsia"/>
                <w:highlight w:val="none"/>
              </w:rPr>
            </w:pPr>
            <w:r>
              <w:rPr>
                <w:highlight w:val="none"/>
              </w:rPr>
              <w:t>1</w:t>
            </w:r>
          </w:p>
        </w:tc>
        <w:tc>
          <w:tcPr>
            <w:tcW w:w="7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F981F30">
            <w:pPr>
              <w:jc w:val="center"/>
              <w:rPr>
                <w:rFonts w:hint="eastAsia"/>
                <w:highlight w:val="none"/>
              </w:rPr>
            </w:pPr>
            <w:r>
              <w:rPr>
                <w:highlight w:val="none"/>
              </w:rPr>
              <w:t>项</w:t>
            </w:r>
          </w:p>
        </w:tc>
        <w:tc>
          <w:tcPr>
            <w:tcW w:w="1933"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9F172D8">
            <w:pPr>
              <w:jc w:val="center"/>
              <w:rPr>
                <w:rFonts w:hint="eastAsia"/>
                <w:highlight w:val="none"/>
              </w:rPr>
            </w:pPr>
            <w:r>
              <w:rPr>
                <w:rFonts w:hint="eastAsia"/>
                <w:highlight w:val="none"/>
              </w:rPr>
              <w:t>1年，2次</w:t>
            </w:r>
          </w:p>
        </w:tc>
      </w:tr>
      <w:tr w14:paraId="28345473">
        <w:tblPrEx>
          <w:tblCellMar>
            <w:top w:w="0" w:type="dxa"/>
            <w:left w:w="108" w:type="dxa"/>
            <w:bottom w:w="0" w:type="dxa"/>
            <w:right w:w="108" w:type="dxa"/>
          </w:tblCellMar>
        </w:tblPrEx>
        <w:trPr>
          <w:trHeight w:val="3583"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B4B2822">
            <w:pPr>
              <w:jc w:val="center"/>
              <w:rPr>
                <w:rFonts w:hint="eastAsia" w:eastAsia="宋体"/>
                <w:highlight w:val="none"/>
                <w:lang w:eastAsia="zh-CN"/>
              </w:rPr>
            </w:pPr>
            <w:r>
              <w:rPr>
                <w:rFonts w:hint="eastAsia"/>
                <w:highlight w:val="none"/>
                <w:lang w:val="en-US" w:eastAsia="zh-CN"/>
              </w:rPr>
              <w:t>4</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D4F87D4">
            <w:pPr>
              <w:rPr>
                <w:rFonts w:hint="eastAsia"/>
                <w:highlight w:val="none"/>
              </w:rPr>
            </w:pPr>
            <w:r>
              <w:rPr>
                <w:rFonts w:hint="eastAsia"/>
                <w:highlight w:val="none"/>
              </w:rPr>
              <w:t>安全服务</w:t>
            </w:r>
            <w:r>
              <w:rPr>
                <w:rFonts w:hint="eastAsia"/>
                <w:highlight w:val="none"/>
                <w:lang w:val="en-US" w:eastAsia="zh-CN"/>
              </w:rPr>
              <w:t>4</w:t>
            </w:r>
            <w:r>
              <w:rPr>
                <w:rFonts w:hint="eastAsia"/>
                <w:highlight w:val="none"/>
              </w:rPr>
              <w:t>：外部攻击面管理</w:t>
            </w:r>
          </w:p>
        </w:tc>
        <w:tc>
          <w:tcPr>
            <w:tcW w:w="444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F1AA3F0">
            <w:pPr>
              <w:rPr>
                <w:rFonts w:hint="eastAsia"/>
                <w:highlight w:val="none"/>
              </w:rPr>
            </w:pPr>
            <w:r>
              <w:rPr>
                <w:rFonts w:hint="eastAsia"/>
                <w:highlight w:val="none"/>
              </w:rPr>
              <w:t>敏感数据泄漏排查加上</w:t>
            </w:r>
          </w:p>
          <w:p w14:paraId="0C0FF273">
            <w:pPr>
              <w:rPr>
                <w:rFonts w:hint="eastAsia"/>
                <w:highlight w:val="none"/>
              </w:rPr>
            </w:pPr>
            <w:r>
              <w:rPr>
                <w:rFonts w:hint="eastAsia"/>
                <w:highlight w:val="none"/>
              </w:rPr>
              <w:t>1）互联网暴露面梳理（根据医院的公网ip、根域名、ICP备案号、业务系统名称等在互联网上做资产梳理，发现影子资产或僵尸资产）</w:t>
            </w:r>
          </w:p>
          <w:p w14:paraId="5AD4EB76">
            <w:pPr>
              <w:rPr>
                <w:rFonts w:hint="eastAsia"/>
                <w:highlight w:val="none"/>
              </w:rPr>
            </w:pPr>
            <w:r>
              <w:rPr>
                <w:rFonts w:hint="eastAsia"/>
                <w:highlight w:val="none"/>
              </w:rPr>
              <w:t>2）攻击面分析（识别暴露的攻击路径和资产风险等级，确定关键风险的优先级，并给出关键风险的处置建议）</w:t>
            </w:r>
          </w:p>
          <w:p w14:paraId="3559E4DC">
            <w:pPr>
              <w:rPr>
                <w:rFonts w:hint="eastAsia"/>
                <w:highlight w:val="none"/>
              </w:rPr>
            </w:pPr>
            <w:r>
              <w:rPr>
                <w:rFonts w:hint="eastAsia"/>
                <w:highlight w:val="none"/>
              </w:rPr>
              <w:t>敏感数据泄漏检测（覆盖全网（含暗网、深网）范围数据泄露监测和分析）</w:t>
            </w:r>
          </w:p>
        </w:tc>
        <w:tc>
          <w:tcPr>
            <w:tcW w:w="70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4ADA157">
            <w:pPr>
              <w:jc w:val="center"/>
              <w:rPr>
                <w:rFonts w:hint="eastAsia"/>
                <w:highlight w:val="none"/>
              </w:rPr>
            </w:pPr>
            <w:r>
              <w:rPr>
                <w:highlight w:val="none"/>
              </w:rPr>
              <w:t>1</w:t>
            </w:r>
          </w:p>
        </w:tc>
        <w:tc>
          <w:tcPr>
            <w:tcW w:w="7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4136325">
            <w:pPr>
              <w:jc w:val="center"/>
              <w:rPr>
                <w:rFonts w:hint="eastAsia"/>
                <w:highlight w:val="none"/>
              </w:rPr>
            </w:pPr>
            <w:r>
              <w:rPr>
                <w:highlight w:val="none"/>
              </w:rPr>
              <w:t>项</w:t>
            </w:r>
          </w:p>
        </w:tc>
        <w:tc>
          <w:tcPr>
            <w:tcW w:w="1933"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6CF426F">
            <w:pPr>
              <w:jc w:val="center"/>
              <w:rPr>
                <w:rFonts w:hint="eastAsia"/>
                <w:highlight w:val="none"/>
              </w:rPr>
            </w:pPr>
            <w:r>
              <w:rPr>
                <w:rFonts w:hint="eastAsia"/>
                <w:highlight w:val="none"/>
              </w:rPr>
              <w:t>1年，每季度一次</w:t>
            </w:r>
          </w:p>
        </w:tc>
      </w:tr>
      <w:tr w14:paraId="3AC7B4D3">
        <w:tblPrEx>
          <w:tblCellMar>
            <w:top w:w="0" w:type="dxa"/>
            <w:left w:w="108" w:type="dxa"/>
            <w:bottom w:w="0" w:type="dxa"/>
            <w:right w:w="108" w:type="dxa"/>
          </w:tblCellMar>
        </w:tblPrEx>
        <w:trPr>
          <w:trHeight w:val="1238"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A98751F">
            <w:pPr>
              <w:jc w:val="center"/>
              <w:rPr>
                <w:rFonts w:hint="eastAsia" w:eastAsia="宋体"/>
                <w:highlight w:val="none"/>
                <w:lang w:eastAsia="zh-CN"/>
              </w:rPr>
            </w:pPr>
            <w:r>
              <w:rPr>
                <w:rFonts w:hint="eastAsia"/>
                <w:highlight w:val="none"/>
                <w:lang w:val="en-US" w:eastAsia="zh-CN"/>
              </w:rPr>
              <w:t>5</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5D2330D">
            <w:pPr>
              <w:rPr>
                <w:rFonts w:hint="eastAsia"/>
                <w:highlight w:val="none"/>
              </w:rPr>
            </w:pPr>
            <w:r>
              <w:rPr>
                <w:rFonts w:hint="eastAsia"/>
                <w:highlight w:val="none"/>
              </w:rPr>
              <w:t>安全服务</w:t>
            </w:r>
            <w:r>
              <w:rPr>
                <w:rFonts w:hint="eastAsia"/>
                <w:highlight w:val="none"/>
                <w:lang w:val="en-US" w:eastAsia="zh-CN"/>
              </w:rPr>
              <w:t>5</w:t>
            </w:r>
            <w:bookmarkStart w:id="0" w:name="_GoBack"/>
            <w:bookmarkEnd w:id="0"/>
            <w:r>
              <w:rPr>
                <w:rFonts w:hint="eastAsia"/>
                <w:highlight w:val="none"/>
              </w:rPr>
              <w:t>：日常安服</w:t>
            </w:r>
          </w:p>
        </w:tc>
        <w:tc>
          <w:tcPr>
            <w:tcW w:w="444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7829A00">
            <w:pPr>
              <w:rPr>
                <w:rFonts w:hint="default" w:eastAsia="黑体"/>
                <w:highlight w:val="none"/>
                <w:lang w:val="en-US" w:eastAsia="zh-CN"/>
              </w:rPr>
            </w:pPr>
            <w:r>
              <w:rPr>
                <w:rFonts w:hint="eastAsia"/>
                <w:highlight w:val="none"/>
              </w:rPr>
              <w:t>每年</w:t>
            </w:r>
            <w:r>
              <w:rPr>
                <w:rFonts w:hint="eastAsia"/>
                <w:highlight w:val="none"/>
                <w:lang w:val="en-US" w:eastAsia="zh-CN"/>
              </w:rPr>
              <w:t>2</w:t>
            </w:r>
            <w:r>
              <w:rPr>
                <w:rFonts w:hint="eastAsia"/>
                <w:highlight w:val="none"/>
              </w:rPr>
              <w:t>0人天的重保现场值守；每周1人天的现场安服、应急响应、安全巡检、态势感知月度季度报告等</w:t>
            </w:r>
            <w:r>
              <w:rPr>
                <w:rFonts w:hint="eastAsia"/>
                <w:highlight w:val="none"/>
                <w:lang w:eastAsia="zh-CN"/>
              </w:rPr>
              <w:t>。</w:t>
            </w:r>
            <w:r>
              <w:rPr>
                <w:rFonts w:hint="eastAsia"/>
                <w:highlight w:val="none"/>
                <w:lang w:val="en-US" w:eastAsia="zh-CN"/>
              </w:rPr>
              <w:t>长期驻场安全工程师1名。</w:t>
            </w:r>
          </w:p>
        </w:tc>
        <w:tc>
          <w:tcPr>
            <w:tcW w:w="70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23BF8D0">
            <w:pPr>
              <w:jc w:val="center"/>
              <w:rPr>
                <w:rFonts w:hint="eastAsia"/>
                <w:highlight w:val="none"/>
              </w:rPr>
            </w:pPr>
            <w:r>
              <w:rPr>
                <w:highlight w:val="none"/>
              </w:rPr>
              <w:t>1</w:t>
            </w:r>
          </w:p>
        </w:tc>
        <w:tc>
          <w:tcPr>
            <w:tcW w:w="7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1C4FFE1">
            <w:pPr>
              <w:jc w:val="center"/>
              <w:rPr>
                <w:rFonts w:hint="eastAsia"/>
                <w:highlight w:val="none"/>
              </w:rPr>
            </w:pPr>
            <w:r>
              <w:rPr>
                <w:highlight w:val="none"/>
              </w:rPr>
              <w:t>项</w:t>
            </w:r>
          </w:p>
        </w:tc>
        <w:tc>
          <w:tcPr>
            <w:tcW w:w="1933"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D993D0B">
            <w:pPr>
              <w:jc w:val="center"/>
              <w:rPr>
                <w:rFonts w:hint="eastAsia"/>
                <w:highlight w:val="none"/>
              </w:rPr>
            </w:pPr>
            <w:r>
              <w:rPr>
                <w:rFonts w:hint="eastAsia"/>
                <w:highlight w:val="none"/>
              </w:rPr>
              <w:t>1年</w:t>
            </w:r>
          </w:p>
        </w:tc>
      </w:tr>
      <w:tr w14:paraId="643724A8">
        <w:tblPrEx>
          <w:tblCellMar>
            <w:top w:w="0" w:type="dxa"/>
            <w:left w:w="108" w:type="dxa"/>
            <w:bottom w:w="0" w:type="dxa"/>
            <w:right w:w="108" w:type="dxa"/>
          </w:tblCellMar>
        </w:tblPrEx>
        <w:trPr>
          <w:trHeight w:val="433"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A70D6B9">
            <w:pPr>
              <w:jc w:val="center"/>
              <w:rPr>
                <w:rFonts w:hint="eastAsia" w:eastAsia="宋体"/>
                <w:highlight w:val="none"/>
                <w:lang w:eastAsia="zh-CN"/>
              </w:rPr>
            </w:pPr>
            <w:r>
              <w:rPr>
                <w:rFonts w:hint="eastAsia"/>
                <w:highlight w:val="none"/>
                <w:lang w:val="en-US" w:eastAsia="zh-CN"/>
              </w:rPr>
              <w:t>6</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5EA4967">
            <w:pPr>
              <w:rPr>
                <w:rFonts w:hint="eastAsia"/>
                <w:highlight w:val="none"/>
              </w:rPr>
            </w:pPr>
            <w:r>
              <w:rPr>
                <w:rFonts w:hint="eastAsia"/>
                <w:highlight w:val="none"/>
              </w:rPr>
              <w:t>零信任系统</w:t>
            </w:r>
          </w:p>
        </w:tc>
        <w:tc>
          <w:tcPr>
            <w:tcW w:w="444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80ED839">
            <w:pPr>
              <w:rPr>
                <w:rFonts w:hint="eastAsia"/>
                <w:highlight w:val="none"/>
              </w:rPr>
            </w:pPr>
            <w:r>
              <w:rPr>
                <w:rFonts w:hint="eastAsia"/>
                <w:highlight w:val="none"/>
              </w:rPr>
              <w:t>700并发，3年软件升级+服务</w:t>
            </w:r>
          </w:p>
        </w:tc>
        <w:tc>
          <w:tcPr>
            <w:tcW w:w="70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C89DA73">
            <w:pPr>
              <w:jc w:val="center"/>
              <w:rPr>
                <w:rFonts w:hint="eastAsia"/>
                <w:highlight w:val="none"/>
              </w:rPr>
            </w:pPr>
            <w:r>
              <w:rPr>
                <w:rFonts w:hint="eastAsia"/>
                <w:highlight w:val="none"/>
              </w:rPr>
              <w:t>1</w:t>
            </w:r>
          </w:p>
        </w:tc>
        <w:tc>
          <w:tcPr>
            <w:tcW w:w="7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F8E3C27">
            <w:pPr>
              <w:jc w:val="center"/>
              <w:rPr>
                <w:rFonts w:hint="eastAsia"/>
                <w:highlight w:val="none"/>
              </w:rPr>
            </w:pPr>
            <w:r>
              <w:rPr>
                <w:rFonts w:hint="eastAsia"/>
                <w:highlight w:val="none"/>
              </w:rPr>
              <w:t>套</w:t>
            </w:r>
          </w:p>
        </w:tc>
        <w:tc>
          <w:tcPr>
            <w:tcW w:w="1933"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EA67DDB">
            <w:pPr>
              <w:jc w:val="center"/>
              <w:rPr>
                <w:rFonts w:hint="eastAsia"/>
                <w:highlight w:val="none"/>
              </w:rPr>
            </w:pPr>
            <w:r>
              <w:rPr>
                <w:rFonts w:hint="eastAsia"/>
                <w:highlight w:val="none"/>
              </w:rPr>
              <w:t>3年</w:t>
            </w:r>
          </w:p>
        </w:tc>
      </w:tr>
      <w:tr w14:paraId="3B09E816">
        <w:tblPrEx>
          <w:tblCellMar>
            <w:top w:w="0" w:type="dxa"/>
            <w:left w:w="108" w:type="dxa"/>
            <w:bottom w:w="0" w:type="dxa"/>
            <w:right w:w="108" w:type="dxa"/>
          </w:tblCellMar>
        </w:tblPrEx>
        <w:trPr>
          <w:trHeight w:val="828"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28622AA">
            <w:pPr>
              <w:jc w:val="center"/>
              <w:rPr>
                <w:rFonts w:hint="eastAsia" w:eastAsia="宋体"/>
                <w:highlight w:val="none"/>
                <w:lang w:eastAsia="zh-CN"/>
              </w:rPr>
            </w:pPr>
            <w:r>
              <w:rPr>
                <w:rFonts w:hint="eastAsia"/>
                <w:highlight w:val="none"/>
                <w:lang w:val="en-US" w:eastAsia="zh-CN"/>
              </w:rPr>
              <w:t>7</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EECA13B">
            <w:pPr>
              <w:rPr>
                <w:rFonts w:hint="eastAsia"/>
                <w:highlight w:val="none"/>
              </w:rPr>
            </w:pPr>
            <w:r>
              <w:rPr>
                <w:rFonts w:hint="eastAsia"/>
                <w:highlight w:val="none"/>
              </w:rPr>
              <w:t>内网探针</w:t>
            </w:r>
          </w:p>
        </w:tc>
        <w:tc>
          <w:tcPr>
            <w:tcW w:w="444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6F24D98">
            <w:pPr>
              <w:rPr>
                <w:rFonts w:hint="eastAsia"/>
                <w:highlight w:val="none"/>
              </w:rPr>
            </w:pPr>
            <w:r>
              <w:rPr>
                <w:rFonts w:hint="eastAsia"/>
                <w:highlight w:val="none"/>
              </w:rPr>
              <w:t>配合威胁检测与响应平台及MSS使用，部署于内网区域</w:t>
            </w:r>
          </w:p>
        </w:tc>
        <w:tc>
          <w:tcPr>
            <w:tcW w:w="70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8978F0C">
            <w:pPr>
              <w:jc w:val="center"/>
              <w:rPr>
                <w:rFonts w:hint="eastAsia"/>
                <w:highlight w:val="none"/>
              </w:rPr>
            </w:pPr>
            <w:r>
              <w:rPr>
                <w:rFonts w:hint="eastAsia"/>
                <w:highlight w:val="none"/>
              </w:rPr>
              <w:t>1</w:t>
            </w:r>
          </w:p>
        </w:tc>
        <w:tc>
          <w:tcPr>
            <w:tcW w:w="7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9577622">
            <w:pPr>
              <w:jc w:val="center"/>
              <w:rPr>
                <w:rFonts w:hint="eastAsia"/>
                <w:highlight w:val="none"/>
              </w:rPr>
            </w:pPr>
            <w:r>
              <w:rPr>
                <w:rFonts w:hint="eastAsia"/>
                <w:highlight w:val="none"/>
              </w:rPr>
              <w:t>台</w:t>
            </w:r>
          </w:p>
        </w:tc>
        <w:tc>
          <w:tcPr>
            <w:tcW w:w="1933"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6B5BC7B9">
            <w:pPr>
              <w:jc w:val="center"/>
              <w:rPr>
                <w:rFonts w:hint="eastAsia"/>
                <w:highlight w:val="none"/>
              </w:rPr>
            </w:pPr>
          </w:p>
        </w:tc>
      </w:tr>
      <w:tr w14:paraId="0B30F8EB">
        <w:tblPrEx>
          <w:tblCellMar>
            <w:top w:w="0" w:type="dxa"/>
            <w:left w:w="108" w:type="dxa"/>
            <w:bottom w:w="0" w:type="dxa"/>
            <w:right w:w="108" w:type="dxa"/>
          </w:tblCellMar>
        </w:tblPrEx>
        <w:trPr>
          <w:trHeight w:val="3778"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61972C8">
            <w:pPr>
              <w:jc w:val="center"/>
              <w:rPr>
                <w:rFonts w:hint="eastAsia" w:eastAsia="宋体"/>
                <w:highlight w:val="none"/>
                <w:lang w:eastAsia="zh-CN"/>
              </w:rPr>
            </w:pPr>
            <w:r>
              <w:rPr>
                <w:rFonts w:hint="eastAsia"/>
                <w:highlight w:val="none"/>
                <w:lang w:val="en-US" w:eastAsia="zh-CN"/>
              </w:rPr>
              <w:t>8</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9550D85">
            <w:pPr>
              <w:rPr>
                <w:rFonts w:hint="eastAsia"/>
                <w:highlight w:val="none"/>
              </w:rPr>
            </w:pPr>
            <w:r>
              <w:rPr>
                <w:rFonts w:hint="eastAsia"/>
                <w:highlight w:val="none"/>
              </w:rPr>
              <w:t>出口上网行为管理AC</w:t>
            </w:r>
          </w:p>
        </w:tc>
        <w:tc>
          <w:tcPr>
            <w:tcW w:w="444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6EF456E5">
            <w:pPr>
              <w:rPr>
                <w:rFonts w:hint="eastAsia"/>
                <w:highlight w:val="none"/>
              </w:rPr>
            </w:pPr>
            <w:r>
              <w:rPr>
                <w:rFonts w:hint="eastAsia"/>
                <w:highlight w:val="none"/>
              </w:rPr>
              <w:t>性能参数：网络层吞吐量（大包）≥20Gb，应用层吞吐量≥6Gb，带宽性能≥4Gb，实配准入终端数≥10000，每秒新建连接数≥60000，最大并发连接数≥2000000。 硬件参数：规格：2U，内存大小≥32G，硬盘容量≥960G SSD，电源：冗余电源，接口≥4千兆电口+4千兆光口SFP+2万兆光口SFP+。</w:t>
            </w:r>
          </w:p>
          <w:p w14:paraId="2EB67625">
            <w:pPr>
              <w:rPr>
                <w:rFonts w:hint="eastAsia"/>
                <w:highlight w:val="none"/>
              </w:rPr>
            </w:pPr>
          </w:p>
          <w:p w14:paraId="28DF3319">
            <w:pPr>
              <w:rPr>
                <w:rFonts w:hint="eastAsia"/>
                <w:highlight w:val="none"/>
              </w:rPr>
            </w:pPr>
            <w:r>
              <w:rPr>
                <w:rFonts w:hint="eastAsia"/>
                <w:highlight w:val="none"/>
              </w:rPr>
              <w:t>全模块开启，软件升级(*5年);</w:t>
            </w:r>
          </w:p>
          <w:p w14:paraId="15B80EC4">
            <w:pPr>
              <w:rPr>
                <w:rFonts w:hint="eastAsia"/>
                <w:highlight w:val="none"/>
              </w:rPr>
            </w:pPr>
            <w:r>
              <w:rPr>
                <w:rFonts w:hint="eastAsia"/>
                <w:highlight w:val="none"/>
              </w:rPr>
              <w:t>产品质保(原厂5年);</w:t>
            </w:r>
          </w:p>
          <w:p w14:paraId="511B3005">
            <w:pPr>
              <w:rPr>
                <w:rFonts w:hint="eastAsia"/>
                <w:highlight w:val="none"/>
              </w:rPr>
            </w:pPr>
            <w:r>
              <w:rPr>
                <w:rFonts w:hint="eastAsia"/>
                <w:b/>
                <w:bCs/>
                <w:highlight w:val="none"/>
              </w:rPr>
              <w:t>要求满足信创</w:t>
            </w:r>
          </w:p>
        </w:tc>
        <w:tc>
          <w:tcPr>
            <w:tcW w:w="70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B0E2036">
            <w:pPr>
              <w:jc w:val="center"/>
              <w:rPr>
                <w:rFonts w:hint="eastAsia"/>
                <w:highlight w:val="none"/>
              </w:rPr>
            </w:pPr>
            <w:r>
              <w:rPr>
                <w:rFonts w:hint="eastAsia"/>
                <w:highlight w:val="none"/>
              </w:rPr>
              <w:t>2</w:t>
            </w:r>
          </w:p>
        </w:tc>
        <w:tc>
          <w:tcPr>
            <w:tcW w:w="7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7F67CC8">
            <w:pPr>
              <w:jc w:val="center"/>
              <w:rPr>
                <w:rFonts w:hint="eastAsia"/>
                <w:highlight w:val="none"/>
              </w:rPr>
            </w:pPr>
            <w:r>
              <w:rPr>
                <w:rFonts w:hint="eastAsia"/>
                <w:highlight w:val="none"/>
              </w:rPr>
              <w:t>台</w:t>
            </w:r>
          </w:p>
        </w:tc>
        <w:tc>
          <w:tcPr>
            <w:tcW w:w="1933"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61DAADF">
            <w:pPr>
              <w:jc w:val="center"/>
              <w:rPr>
                <w:rFonts w:hint="eastAsia"/>
                <w:highlight w:val="none"/>
              </w:rPr>
            </w:pPr>
          </w:p>
        </w:tc>
      </w:tr>
      <w:tr w14:paraId="22F1FCE1">
        <w:tblPrEx>
          <w:tblCellMar>
            <w:top w:w="0" w:type="dxa"/>
            <w:left w:w="108" w:type="dxa"/>
            <w:bottom w:w="0" w:type="dxa"/>
            <w:right w:w="108" w:type="dxa"/>
          </w:tblCellMar>
        </w:tblPrEx>
        <w:trPr>
          <w:trHeight w:val="4258"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0CA02EB">
            <w:pPr>
              <w:jc w:val="center"/>
              <w:rPr>
                <w:rFonts w:hint="eastAsia" w:eastAsia="宋体"/>
                <w:highlight w:val="none"/>
                <w:lang w:eastAsia="zh-CN"/>
              </w:rPr>
            </w:pPr>
            <w:r>
              <w:rPr>
                <w:rFonts w:hint="eastAsia"/>
                <w:highlight w:val="none"/>
                <w:lang w:val="en-US" w:eastAsia="zh-CN"/>
              </w:rPr>
              <w:t>9</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0DEF061">
            <w:pPr>
              <w:rPr>
                <w:rFonts w:hint="eastAsia"/>
                <w:highlight w:val="none"/>
              </w:rPr>
            </w:pPr>
            <w:r>
              <w:rPr>
                <w:rFonts w:hint="eastAsia"/>
                <w:highlight w:val="none"/>
              </w:rPr>
              <w:t>出口边界防火墙</w:t>
            </w:r>
          </w:p>
        </w:tc>
        <w:tc>
          <w:tcPr>
            <w:tcW w:w="444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3B86838">
            <w:pPr>
              <w:rPr>
                <w:rFonts w:hint="eastAsia"/>
                <w:highlight w:val="none"/>
              </w:rPr>
            </w:pPr>
            <w:r>
              <w:rPr>
                <w:rFonts w:hint="eastAsia"/>
                <w:highlight w:val="none"/>
              </w:rPr>
              <w:t>性能参数：网络层吞吐量≥40G，应用层吞吐量≥25G，防病毒吞吐量≥5G，IPS吞吐量≥5G，全威胁吞吐量≥3G，并发连接数≥800万，HTTP新建连接数≥20万</w:t>
            </w:r>
          </w:p>
          <w:p w14:paraId="648301E9">
            <w:pPr>
              <w:rPr>
                <w:rFonts w:hint="eastAsia"/>
                <w:highlight w:val="none"/>
              </w:rPr>
            </w:pPr>
            <w:r>
              <w:rPr>
                <w:rFonts w:hint="eastAsia"/>
                <w:highlight w:val="none"/>
              </w:rPr>
              <w:t>硬件参数：规格：2U，内存大小≥16G，硬盘容量：≥480G SSD，电源：冗余电源，接口≥4千兆电口+4千兆光口SFP+4万兆光口SFP+。</w:t>
            </w:r>
          </w:p>
          <w:p w14:paraId="10ED321F">
            <w:pPr>
              <w:rPr>
                <w:rFonts w:hint="eastAsia"/>
                <w:highlight w:val="none"/>
              </w:rPr>
            </w:pPr>
          </w:p>
          <w:p w14:paraId="76A88701">
            <w:pPr>
              <w:rPr>
                <w:rFonts w:hint="eastAsia"/>
                <w:highlight w:val="none"/>
              </w:rPr>
            </w:pPr>
            <w:r>
              <w:rPr>
                <w:rFonts w:hint="eastAsia"/>
                <w:highlight w:val="none"/>
              </w:rPr>
              <w:t>全模块开启，软件升级(*5年);</w:t>
            </w:r>
          </w:p>
          <w:p w14:paraId="3A5036F6">
            <w:pPr>
              <w:rPr>
                <w:rFonts w:hint="eastAsia"/>
                <w:highlight w:val="none"/>
              </w:rPr>
            </w:pPr>
            <w:r>
              <w:rPr>
                <w:rFonts w:hint="eastAsia"/>
                <w:highlight w:val="none"/>
              </w:rPr>
              <w:t>产品质保(原厂5年);</w:t>
            </w:r>
          </w:p>
          <w:p w14:paraId="3259501D">
            <w:pPr>
              <w:rPr>
                <w:rFonts w:hint="eastAsia"/>
                <w:highlight w:val="none"/>
              </w:rPr>
            </w:pPr>
            <w:r>
              <w:rPr>
                <w:rFonts w:hint="eastAsia"/>
                <w:b/>
                <w:bCs/>
                <w:highlight w:val="none"/>
              </w:rPr>
              <w:t>要求满足信创</w:t>
            </w:r>
          </w:p>
        </w:tc>
        <w:tc>
          <w:tcPr>
            <w:tcW w:w="70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7632CB9">
            <w:pPr>
              <w:jc w:val="center"/>
              <w:rPr>
                <w:rFonts w:hint="eastAsia"/>
                <w:highlight w:val="none"/>
              </w:rPr>
            </w:pPr>
            <w:r>
              <w:rPr>
                <w:rFonts w:hint="eastAsia"/>
                <w:highlight w:val="none"/>
              </w:rPr>
              <w:t>2</w:t>
            </w:r>
          </w:p>
        </w:tc>
        <w:tc>
          <w:tcPr>
            <w:tcW w:w="7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2B773ED">
            <w:pPr>
              <w:jc w:val="center"/>
              <w:rPr>
                <w:rFonts w:hint="eastAsia"/>
                <w:highlight w:val="none"/>
              </w:rPr>
            </w:pPr>
            <w:r>
              <w:rPr>
                <w:rFonts w:hint="eastAsia"/>
                <w:highlight w:val="none"/>
              </w:rPr>
              <w:t>台</w:t>
            </w:r>
          </w:p>
        </w:tc>
        <w:tc>
          <w:tcPr>
            <w:tcW w:w="1933"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2E6FFD8">
            <w:pPr>
              <w:jc w:val="center"/>
              <w:rPr>
                <w:rFonts w:hint="eastAsia"/>
                <w:highlight w:val="none"/>
              </w:rPr>
            </w:pPr>
          </w:p>
        </w:tc>
      </w:tr>
      <w:tr w14:paraId="193F407E">
        <w:tblPrEx>
          <w:tblCellMar>
            <w:top w:w="0" w:type="dxa"/>
            <w:left w:w="108" w:type="dxa"/>
            <w:bottom w:w="0" w:type="dxa"/>
            <w:right w:w="108" w:type="dxa"/>
          </w:tblCellMar>
        </w:tblPrEx>
        <w:trPr>
          <w:trHeight w:val="2428"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3D9D893">
            <w:pPr>
              <w:jc w:val="center"/>
              <w:rPr>
                <w:rFonts w:hint="default" w:eastAsia="宋体"/>
                <w:highlight w:val="none"/>
                <w:lang w:val="en-US" w:eastAsia="zh-CN"/>
              </w:rPr>
            </w:pPr>
            <w:r>
              <w:rPr>
                <w:rFonts w:hint="eastAsia"/>
                <w:highlight w:val="none"/>
                <w:lang w:val="en-US" w:eastAsia="zh-CN"/>
              </w:rPr>
              <w:t>10</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BFB28F6">
            <w:pPr>
              <w:rPr>
                <w:rFonts w:hint="default" w:eastAsia="宋体"/>
                <w:highlight w:val="none"/>
                <w:lang w:val="en-US" w:eastAsia="zh-CN"/>
              </w:rPr>
            </w:pPr>
            <w:r>
              <w:rPr>
                <w:rFonts w:hint="eastAsia"/>
                <w:highlight w:val="none"/>
                <w:lang w:val="en-US" w:eastAsia="zh-CN"/>
              </w:rPr>
              <w:t>Api网关平台</w:t>
            </w:r>
          </w:p>
        </w:tc>
        <w:tc>
          <w:tcPr>
            <w:tcW w:w="444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D6297A4">
            <w:pPr>
              <w:rPr>
                <w:rFonts w:hint="eastAsia"/>
                <w:highlight w:val="none"/>
              </w:rPr>
            </w:pPr>
            <w:r>
              <w:rPr>
                <w:rFonts w:hint="eastAsia"/>
                <w:highlight w:val="none"/>
              </w:rPr>
              <w:t>包含数据开放服务资产、数据开放服务授权管理、数据开放服务安全态势、数据开放服务问题追踪、数据服务路由、网关服务、解析/调用服务等功能模块</w:t>
            </w:r>
          </w:p>
          <w:p w14:paraId="60FA9155">
            <w:pPr>
              <w:pStyle w:val="2"/>
              <w:rPr>
                <w:rFonts w:hint="default" w:eastAsia="黑体"/>
                <w:lang w:val="en-US" w:eastAsia="zh-CN"/>
              </w:rPr>
            </w:pPr>
            <w:r>
              <w:rPr>
                <w:rFonts w:hint="eastAsia" w:ascii="宋体" w:hAnsi="宋体" w:eastAsia="宋体" w:cs="宋体"/>
                <w:b/>
                <w:bCs/>
                <w:kern w:val="0"/>
                <w:sz w:val="24"/>
                <w:szCs w:val="24"/>
                <w:highlight w:val="none"/>
                <w:lang w:val="en-US" w:eastAsia="zh-CN" w:bidi="ar-SA"/>
              </w:rPr>
              <w:t>请自行选型并描述具体功能</w:t>
            </w:r>
          </w:p>
        </w:tc>
        <w:tc>
          <w:tcPr>
            <w:tcW w:w="70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9820DDA">
            <w:pPr>
              <w:jc w:val="center"/>
              <w:rPr>
                <w:rFonts w:hint="eastAsia" w:eastAsia="宋体"/>
                <w:highlight w:val="none"/>
                <w:lang w:val="en-US" w:eastAsia="zh-CN"/>
              </w:rPr>
            </w:pPr>
            <w:r>
              <w:rPr>
                <w:rFonts w:hint="eastAsia"/>
                <w:highlight w:val="none"/>
                <w:lang w:val="en-US" w:eastAsia="zh-CN"/>
              </w:rPr>
              <w:t>1</w:t>
            </w:r>
          </w:p>
        </w:tc>
        <w:tc>
          <w:tcPr>
            <w:tcW w:w="7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ADD2AA5">
            <w:pPr>
              <w:jc w:val="center"/>
              <w:rPr>
                <w:rFonts w:hint="eastAsia" w:eastAsia="宋体"/>
                <w:highlight w:val="none"/>
                <w:lang w:val="en-US" w:eastAsia="zh-CN"/>
              </w:rPr>
            </w:pPr>
            <w:r>
              <w:rPr>
                <w:rFonts w:hint="eastAsia"/>
                <w:highlight w:val="none"/>
                <w:lang w:val="en-US" w:eastAsia="zh-CN"/>
              </w:rPr>
              <w:t>套</w:t>
            </w:r>
          </w:p>
        </w:tc>
        <w:tc>
          <w:tcPr>
            <w:tcW w:w="1933"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B97DE51">
            <w:pPr>
              <w:jc w:val="center"/>
              <w:rPr>
                <w:rFonts w:hint="default" w:eastAsia="宋体"/>
                <w:highlight w:val="none"/>
                <w:lang w:val="en-US" w:eastAsia="zh-CN"/>
              </w:rPr>
            </w:pPr>
            <w:r>
              <w:rPr>
                <w:rFonts w:hint="eastAsia"/>
                <w:highlight w:val="none"/>
                <w:lang w:val="en-US" w:eastAsia="zh-CN"/>
              </w:rPr>
              <w:t>质保1年</w:t>
            </w:r>
          </w:p>
        </w:tc>
      </w:tr>
      <w:tr w14:paraId="5351F23F">
        <w:tblPrEx>
          <w:tblCellMar>
            <w:top w:w="0" w:type="dxa"/>
            <w:left w:w="108" w:type="dxa"/>
            <w:bottom w:w="0" w:type="dxa"/>
            <w:right w:w="108" w:type="dxa"/>
          </w:tblCellMar>
        </w:tblPrEx>
        <w:trPr>
          <w:trHeight w:val="3598"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623574A">
            <w:pPr>
              <w:jc w:val="center"/>
              <w:rPr>
                <w:rFonts w:hint="default"/>
                <w:highlight w:val="none"/>
                <w:lang w:val="en-US" w:eastAsia="zh-CN"/>
              </w:rPr>
            </w:pPr>
            <w:r>
              <w:rPr>
                <w:rFonts w:hint="eastAsia"/>
                <w:highlight w:val="none"/>
                <w:lang w:val="en-US" w:eastAsia="zh-CN"/>
              </w:rPr>
              <w:t>11</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3F78A8B">
            <w:pPr>
              <w:rPr>
                <w:rFonts w:hint="default" w:eastAsia="宋体"/>
                <w:highlight w:val="none"/>
                <w:lang w:val="en-US" w:eastAsia="zh-CN"/>
              </w:rPr>
            </w:pPr>
            <w:r>
              <w:rPr>
                <w:rFonts w:hint="eastAsia"/>
                <w:highlight w:val="none"/>
                <w:lang w:val="en-US" w:eastAsia="zh-CN"/>
              </w:rPr>
              <w:t>云端安全网关平台</w:t>
            </w:r>
          </w:p>
        </w:tc>
        <w:tc>
          <w:tcPr>
            <w:tcW w:w="444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8A2BB74">
            <w:pPr>
              <w:rPr>
                <w:rFonts w:hint="default"/>
                <w:lang w:val="en-US" w:eastAsia="zh-CN"/>
              </w:rPr>
            </w:pPr>
            <w:r>
              <w:rPr>
                <w:rFonts w:hint="eastAsia"/>
                <w:highlight w:val="none"/>
                <w:lang w:val="en-US" w:eastAsia="zh-CN"/>
              </w:rPr>
              <w:t>改变目前医院业务直接映射至公网的架构，web类、api类端口映射由云端安全网关首先进行清洗和过滤，通过技术手段阻拦扫描、漏洞利用、爬虫、CC、ddos等多种攻击手段；过滤之后再转发至真实业务出口地址。</w:t>
            </w:r>
          </w:p>
          <w:p w14:paraId="123C0717">
            <w:pPr>
              <w:rPr>
                <w:rFonts w:hint="default"/>
                <w:lang w:val="en-US" w:eastAsia="zh-CN"/>
              </w:rPr>
            </w:pPr>
            <w:r>
              <w:rPr>
                <w:rFonts w:hint="eastAsia"/>
                <w:b/>
                <w:bCs/>
                <w:highlight w:val="none"/>
                <w:lang w:val="en-US" w:eastAsia="zh-CN"/>
              </w:rPr>
              <w:t>请自行选型并描述具体功能</w:t>
            </w:r>
          </w:p>
        </w:tc>
        <w:tc>
          <w:tcPr>
            <w:tcW w:w="70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5AA4F8F">
            <w:pPr>
              <w:jc w:val="center"/>
              <w:rPr>
                <w:rFonts w:hint="eastAsia" w:eastAsia="宋体"/>
                <w:highlight w:val="none"/>
                <w:lang w:val="en-US" w:eastAsia="zh-CN"/>
              </w:rPr>
            </w:pPr>
            <w:r>
              <w:rPr>
                <w:rFonts w:hint="eastAsia"/>
                <w:highlight w:val="none"/>
                <w:lang w:val="en-US" w:eastAsia="zh-CN"/>
              </w:rPr>
              <w:t>1</w:t>
            </w:r>
          </w:p>
        </w:tc>
        <w:tc>
          <w:tcPr>
            <w:tcW w:w="7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41D280D">
            <w:pPr>
              <w:jc w:val="center"/>
              <w:rPr>
                <w:rFonts w:hint="eastAsia" w:eastAsia="宋体"/>
                <w:highlight w:val="none"/>
                <w:lang w:val="en-US" w:eastAsia="zh-CN"/>
              </w:rPr>
            </w:pPr>
            <w:r>
              <w:rPr>
                <w:rFonts w:hint="eastAsia"/>
                <w:highlight w:val="none"/>
                <w:lang w:val="en-US" w:eastAsia="zh-CN"/>
              </w:rPr>
              <w:t>年</w:t>
            </w:r>
          </w:p>
        </w:tc>
        <w:tc>
          <w:tcPr>
            <w:tcW w:w="1933"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7CE43CA">
            <w:pPr>
              <w:jc w:val="center"/>
              <w:rPr>
                <w:rFonts w:hint="eastAsia"/>
                <w:highlight w:val="none"/>
              </w:rPr>
            </w:pPr>
          </w:p>
        </w:tc>
      </w:tr>
      <w:tr w14:paraId="3CEA02D4">
        <w:tblPrEx>
          <w:tblCellMar>
            <w:top w:w="0" w:type="dxa"/>
            <w:left w:w="108" w:type="dxa"/>
            <w:bottom w:w="0" w:type="dxa"/>
            <w:right w:w="108" w:type="dxa"/>
          </w:tblCellMar>
        </w:tblPrEx>
        <w:trPr>
          <w:trHeight w:val="1643"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87EFD82">
            <w:pPr>
              <w:jc w:val="center"/>
              <w:rPr>
                <w:rFonts w:hint="default" w:eastAsia="宋体"/>
                <w:highlight w:val="none"/>
                <w:lang w:val="en-US" w:eastAsia="zh-CN"/>
              </w:rPr>
            </w:pPr>
            <w:r>
              <w:rPr>
                <w:rFonts w:hint="eastAsia"/>
                <w:highlight w:val="none"/>
              </w:rPr>
              <w:t>1</w:t>
            </w:r>
            <w:r>
              <w:rPr>
                <w:rFonts w:hint="eastAsia"/>
                <w:highlight w:val="none"/>
                <w:lang w:val="en-US" w:eastAsia="zh-CN"/>
              </w:rPr>
              <w:t>2</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AD03FC9">
            <w:pPr>
              <w:rPr>
                <w:rFonts w:hint="eastAsia"/>
                <w:highlight w:val="none"/>
              </w:rPr>
            </w:pPr>
            <w:r>
              <w:rPr>
                <w:rFonts w:hint="eastAsia"/>
                <w:highlight w:val="none"/>
              </w:rPr>
              <w:t>堡垒机授权扩容</w:t>
            </w:r>
          </w:p>
        </w:tc>
        <w:tc>
          <w:tcPr>
            <w:tcW w:w="444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22C00E0">
            <w:pPr>
              <w:rPr>
                <w:rFonts w:hint="eastAsia"/>
                <w:highlight w:val="none"/>
              </w:rPr>
            </w:pPr>
            <w:r>
              <w:rPr>
                <w:rFonts w:hint="eastAsia"/>
                <w:highlight w:val="none"/>
              </w:rPr>
              <w:t>医院在用的2台堡垒1000个点授权已满</w:t>
            </w:r>
          </w:p>
          <w:p w14:paraId="0D2A58C9">
            <w:pPr>
              <w:rPr>
                <w:rFonts w:hint="eastAsia"/>
                <w:highlight w:val="none"/>
              </w:rPr>
            </w:pPr>
            <w:r>
              <w:rPr>
                <w:rFonts w:hint="eastAsia"/>
                <w:highlight w:val="none"/>
              </w:rPr>
              <w:t>扩到1300点</w:t>
            </w:r>
          </w:p>
        </w:tc>
        <w:tc>
          <w:tcPr>
            <w:tcW w:w="70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C9CCE78">
            <w:pPr>
              <w:jc w:val="center"/>
              <w:rPr>
                <w:rFonts w:hint="eastAsia"/>
                <w:highlight w:val="none"/>
              </w:rPr>
            </w:pPr>
            <w:r>
              <w:rPr>
                <w:rFonts w:hint="eastAsia"/>
                <w:highlight w:val="none"/>
              </w:rPr>
              <w:t>2</w:t>
            </w:r>
          </w:p>
        </w:tc>
        <w:tc>
          <w:tcPr>
            <w:tcW w:w="7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6A994F5">
            <w:pPr>
              <w:jc w:val="center"/>
              <w:rPr>
                <w:rFonts w:hint="eastAsia"/>
                <w:highlight w:val="none"/>
              </w:rPr>
            </w:pPr>
            <w:r>
              <w:rPr>
                <w:rFonts w:hint="eastAsia"/>
                <w:highlight w:val="none"/>
              </w:rPr>
              <w:t>套</w:t>
            </w:r>
          </w:p>
        </w:tc>
        <w:tc>
          <w:tcPr>
            <w:tcW w:w="1933"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2C439CC">
            <w:pPr>
              <w:jc w:val="center"/>
              <w:rPr>
                <w:rFonts w:hint="eastAsia"/>
                <w:highlight w:val="none"/>
              </w:rPr>
            </w:pPr>
          </w:p>
        </w:tc>
      </w:tr>
      <w:tr w14:paraId="7F163E43">
        <w:tblPrEx>
          <w:tblCellMar>
            <w:top w:w="0" w:type="dxa"/>
            <w:left w:w="108" w:type="dxa"/>
            <w:bottom w:w="0" w:type="dxa"/>
            <w:right w:w="108" w:type="dxa"/>
          </w:tblCellMar>
        </w:tblPrEx>
        <w:trPr>
          <w:trHeight w:val="1643"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87B4FF0">
            <w:pPr>
              <w:jc w:val="center"/>
              <w:rPr>
                <w:rFonts w:hint="eastAsia" w:eastAsia="宋体"/>
                <w:highlight w:val="none"/>
                <w:lang w:eastAsia="zh-CN"/>
              </w:rPr>
            </w:pPr>
            <w:r>
              <w:rPr>
                <w:rFonts w:hint="eastAsia"/>
                <w:highlight w:val="none"/>
              </w:rPr>
              <w:t>1</w:t>
            </w:r>
            <w:r>
              <w:rPr>
                <w:rFonts w:hint="eastAsia"/>
                <w:highlight w:val="none"/>
                <w:lang w:val="en-US" w:eastAsia="zh-CN"/>
              </w:rPr>
              <w:t>3</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DB6A1A0">
            <w:pPr>
              <w:rPr>
                <w:rFonts w:hint="eastAsia"/>
                <w:highlight w:val="none"/>
              </w:rPr>
            </w:pPr>
            <w:r>
              <w:rPr>
                <w:rFonts w:hint="eastAsia"/>
                <w:highlight w:val="none"/>
              </w:rPr>
              <w:t>零信任沙箱</w:t>
            </w:r>
          </w:p>
        </w:tc>
        <w:tc>
          <w:tcPr>
            <w:tcW w:w="444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2633F48">
            <w:pPr>
              <w:rPr>
                <w:rFonts w:hint="eastAsia"/>
                <w:highlight w:val="none"/>
              </w:rPr>
            </w:pPr>
            <w:r>
              <w:rPr>
                <w:rFonts w:hint="eastAsia"/>
                <w:highlight w:val="none"/>
              </w:rPr>
              <w:t>在目前aturst上实现安全访问，比如敏感文件的编辑管理，不可远程打开不可截图</w:t>
            </w:r>
          </w:p>
        </w:tc>
        <w:tc>
          <w:tcPr>
            <w:tcW w:w="70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47F83EC">
            <w:pPr>
              <w:jc w:val="center"/>
              <w:rPr>
                <w:rFonts w:hint="eastAsia"/>
                <w:highlight w:val="none"/>
              </w:rPr>
            </w:pPr>
            <w:r>
              <w:rPr>
                <w:rFonts w:hint="eastAsia"/>
                <w:highlight w:val="none"/>
              </w:rPr>
              <w:t>1</w:t>
            </w:r>
          </w:p>
        </w:tc>
        <w:tc>
          <w:tcPr>
            <w:tcW w:w="7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6AF4DB9C">
            <w:pPr>
              <w:jc w:val="center"/>
              <w:rPr>
                <w:rFonts w:hint="eastAsia"/>
                <w:highlight w:val="none"/>
              </w:rPr>
            </w:pPr>
            <w:r>
              <w:rPr>
                <w:rFonts w:hint="eastAsia"/>
                <w:highlight w:val="none"/>
              </w:rPr>
              <w:t>套</w:t>
            </w:r>
          </w:p>
        </w:tc>
        <w:tc>
          <w:tcPr>
            <w:tcW w:w="1933"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E99D892">
            <w:pPr>
              <w:jc w:val="center"/>
              <w:rPr>
                <w:rFonts w:hint="eastAsia"/>
                <w:highlight w:val="none"/>
              </w:rPr>
            </w:pPr>
          </w:p>
        </w:tc>
      </w:tr>
      <w:tr w14:paraId="3C11067D">
        <w:tblPrEx>
          <w:tblCellMar>
            <w:top w:w="0" w:type="dxa"/>
            <w:left w:w="108" w:type="dxa"/>
            <w:bottom w:w="0" w:type="dxa"/>
            <w:right w:w="108" w:type="dxa"/>
          </w:tblCellMar>
        </w:tblPrEx>
        <w:trPr>
          <w:trHeight w:val="1643"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35F9FC1">
            <w:pPr>
              <w:jc w:val="center"/>
              <w:rPr>
                <w:rFonts w:hint="eastAsia" w:eastAsia="宋体"/>
                <w:highlight w:val="none"/>
                <w:lang w:eastAsia="zh-CN"/>
              </w:rPr>
            </w:pPr>
            <w:r>
              <w:rPr>
                <w:rFonts w:hint="eastAsia"/>
                <w:highlight w:val="none"/>
              </w:rPr>
              <w:t>1</w:t>
            </w:r>
            <w:r>
              <w:rPr>
                <w:rFonts w:hint="eastAsia"/>
                <w:highlight w:val="none"/>
                <w:lang w:val="en-US" w:eastAsia="zh-CN"/>
              </w:rPr>
              <w:t>4</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6807C10">
            <w:pPr>
              <w:rPr>
                <w:rFonts w:hint="eastAsia"/>
                <w:highlight w:val="none"/>
              </w:rPr>
            </w:pPr>
            <w:r>
              <w:rPr>
                <w:rFonts w:hint="eastAsia"/>
                <w:highlight w:val="none"/>
              </w:rPr>
              <w:t>集成</w:t>
            </w:r>
            <w:r>
              <w:rPr>
                <w:highlight w:val="none"/>
              </w:rPr>
              <w:t>技术服务</w:t>
            </w:r>
          </w:p>
        </w:tc>
        <w:tc>
          <w:tcPr>
            <w:tcW w:w="444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A24608F">
            <w:pPr>
              <w:rPr>
                <w:rFonts w:hint="eastAsia"/>
                <w:highlight w:val="none"/>
              </w:rPr>
            </w:pPr>
            <w:r>
              <w:rPr>
                <w:rFonts w:hint="eastAsia"/>
                <w:highlight w:val="none"/>
              </w:rPr>
              <w:t>详见下文服务要求、商务要求</w:t>
            </w:r>
          </w:p>
        </w:tc>
        <w:tc>
          <w:tcPr>
            <w:tcW w:w="70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0991343">
            <w:pPr>
              <w:jc w:val="center"/>
              <w:rPr>
                <w:rFonts w:hint="eastAsia"/>
                <w:highlight w:val="none"/>
              </w:rPr>
            </w:pPr>
            <w:r>
              <w:rPr>
                <w:rFonts w:hint="eastAsia"/>
                <w:highlight w:val="none"/>
              </w:rPr>
              <w:t>1</w:t>
            </w:r>
          </w:p>
        </w:tc>
        <w:tc>
          <w:tcPr>
            <w:tcW w:w="7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B84A57E">
            <w:pPr>
              <w:jc w:val="center"/>
              <w:rPr>
                <w:rFonts w:hint="eastAsia"/>
                <w:highlight w:val="none"/>
              </w:rPr>
            </w:pPr>
            <w:r>
              <w:rPr>
                <w:rFonts w:hint="eastAsia"/>
                <w:highlight w:val="none"/>
              </w:rPr>
              <w:t>套</w:t>
            </w:r>
          </w:p>
        </w:tc>
        <w:tc>
          <w:tcPr>
            <w:tcW w:w="1933"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ACD966E">
            <w:pPr>
              <w:jc w:val="center"/>
              <w:rPr>
                <w:rFonts w:hint="eastAsia"/>
                <w:highlight w:val="none"/>
              </w:rPr>
            </w:pPr>
          </w:p>
        </w:tc>
      </w:tr>
    </w:tbl>
    <w:p w14:paraId="7432C9B1">
      <w:pPr>
        <w:rPr>
          <w:rFonts w:hint="eastAsia"/>
          <w:szCs w:val="32"/>
        </w:rPr>
      </w:pPr>
    </w:p>
    <w:p w14:paraId="5B7074CC">
      <w:pPr>
        <w:pStyle w:val="2"/>
        <w:rPr>
          <w:rFonts w:hint="eastAsia"/>
        </w:rPr>
      </w:pPr>
      <w:r>
        <w:rPr>
          <w:rFonts w:hint="eastAsia"/>
        </w:rPr>
        <w:t>三</w:t>
      </w:r>
      <w:r>
        <w:t xml:space="preserve">、 </w:t>
      </w:r>
      <w:r>
        <w:rPr>
          <w:rFonts w:hint="eastAsia"/>
        </w:rPr>
        <w:t>详细</w:t>
      </w:r>
      <w:r>
        <w:t>技术要求</w:t>
      </w:r>
      <w:r>
        <w:rPr>
          <w:rFonts w:hint="eastAsia"/>
        </w:rPr>
        <w:t>：略，请报名单位自行选型描述</w:t>
      </w:r>
    </w:p>
    <w:p w14:paraId="043DACBA">
      <w:pPr>
        <w:pStyle w:val="2"/>
        <w:rPr>
          <w:rFonts w:hint="eastAsia"/>
        </w:rPr>
      </w:pPr>
      <w:r>
        <w:rPr>
          <w:rFonts w:hint="eastAsia"/>
        </w:rPr>
        <w:t>四、</w:t>
      </w:r>
      <w:r>
        <w:t xml:space="preserve"> 安全要求</w:t>
      </w:r>
    </w:p>
    <w:p w14:paraId="4D17FD4A">
      <w:pPr>
        <w:rPr>
          <w:rStyle w:val="18"/>
          <w:rFonts w:hint="eastAsia"/>
        </w:rPr>
      </w:pPr>
      <w:r>
        <w:rPr>
          <w:rStyle w:val="18"/>
        </w:rPr>
        <w:t>（</w:t>
      </w:r>
      <w:r>
        <w:rPr>
          <w:rStyle w:val="18"/>
          <w:rFonts w:hint="eastAsia"/>
        </w:rPr>
        <w:t>一</w:t>
      </w:r>
      <w:r>
        <w:rPr>
          <w:rStyle w:val="18"/>
        </w:rPr>
        <w:t>）应用安全管理建设</w:t>
      </w:r>
    </w:p>
    <w:p w14:paraId="2C5CCFAF">
      <w:pPr>
        <w:rPr>
          <w:rFonts w:hint="eastAsia"/>
        </w:rPr>
      </w:pPr>
      <w:r>
        <w:tab/>
      </w:r>
      <w:r>
        <w:rPr>
          <w:rFonts w:hint="eastAsia"/>
        </w:rPr>
        <w:t>所建</w:t>
      </w:r>
      <w:r>
        <w:t>应用包括用户管理、用户访问安全和应用操作安全，满足国家</w:t>
      </w:r>
      <w:r>
        <w:rPr>
          <w:rFonts w:hint="eastAsia"/>
        </w:rPr>
        <w:t>及我院对</w:t>
      </w:r>
      <w:r>
        <w:t>应用安全管理</w:t>
      </w:r>
      <w:r>
        <w:rPr>
          <w:rFonts w:hint="eastAsia"/>
        </w:rPr>
        <w:t>相关规定。</w:t>
      </w:r>
    </w:p>
    <w:p w14:paraId="7F983134">
      <w:pPr>
        <w:rPr>
          <w:rStyle w:val="18"/>
          <w:rFonts w:hint="eastAsia"/>
        </w:rPr>
      </w:pPr>
      <w:r>
        <w:rPr>
          <w:rStyle w:val="18"/>
          <w:rFonts w:hint="eastAsia"/>
        </w:rPr>
        <w:t>（二）</w:t>
      </w:r>
      <w:r>
        <w:rPr>
          <w:rStyle w:val="18"/>
        </w:rPr>
        <w:t>数据安全管理要求</w:t>
      </w:r>
    </w:p>
    <w:p w14:paraId="0CA4A6C8">
      <w:pPr>
        <w:rPr>
          <w:rFonts w:hint="eastAsia"/>
        </w:rPr>
      </w:pPr>
      <w:r>
        <w:tab/>
      </w:r>
      <w:r>
        <w:t>数据安全管理包括数据传输安全、数据加工存储安全、数据备份等，信息系统在建设的过程中应该有具体的数据安全管理方案和措施，满足国家</w:t>
      </w:r>
      <w:r>
        <w:rPr>
          <w:rFonts w:hint="eastAsia"/>
        </w:rPr>
        <w:t>及我院对</w:t>
      </w:r>
      <w:r>
        <w:t>数据安全管理</w:t>
      </w:r>
      <w:r>
        <w:rPr>
          <w:rFonts w:hint="eastAsia"/>
        </w:rPr>
        <w:t>的</w:t>
      </w:r>
      <w:r>
        <w:t>相关</w:t>
      </w:r>
      <w:r>
        <w:rPr>
          <w:rFonts w:hint="eastAsia"/>
        </w:rPr>
        <w:t>规定</w:t>
      </w:r>
      <w:r>
        <w:t>。</w:t>
      </w:r>
    </w:p>
    <w:p w14:paraId="239F091F">
      <w:pPr>
        <w:rPr>
          <w:rStyle w:val="18"/>
          <w:rFonts w:hint="eastAsia"/>
        </w:rPr>
      </w:pPr>
      <w:r>
        <w:rPr>
          <w:rStyle w:val="18"/>
          <w:rFonts w:hint="eastAsia"/>
        </w:rPr>
        <w:t xml:space="preserve">（三）实施安全管理建设 </w:t>
      </w:r>
    </w:p>
    <w:p w14:paraId="272DA229">
      <w:pPr>
        <w:ind w:firstLine="420"/>
        <w:rPr>
          <w:rFonts w:hint="eastAsia"/>
        </w:rPr>
      </w:pPr>
      <w:r>
        <w:rPr>
          <w:rFonts w:hint="eastAsia"/>
        </w:rPr>
        <w:t xml:space="preserve">根据我院对医院信息系统实施安全管理相关文件的基本要求，做好实施安全管理建设，配合好信息系统等级保护测评及整改相关工作。 </w:t>
      </w:r>
    </w:p>
    <w:p w14:paraId="1CB2C5B4">
      <w:pPr>
        <w:pStyle w:val="2"/>
        <w:rPr>
          <w:rFonts w:hint="eastAsia"/>
        </w:rPr>
      </w:pPr>
      <w:r>
        <w:rPr>
          <w:rFonts w:hint="eastAsia"/>
        </w:rPr>
        <w:t>五、</w:t>
      </w:r>
      <w:r>
        <w:t xml:space="preserve"> 商务要求</w:t>
      </w:r>
    </w:p>
    <w:p w14:paraId="05753476">
      <w:pPr>
        <w:rPr>
          <w:rFonts w:hint="eastAsia"/>
        </w:rPr>
      </w:pPr>
    </w:p>
    <w:p w14:paraId="7C6A48D0">
      <w:pPr>
        <w:rPr>
          <w:rStyle w:val="18"/>
          <w:rFonts w:hint="eastAsia"/>
        </w:rPr>
      </w:pPr>
      <w:r>
        <w:rPr>
          <w:rStyle w:val="18"/>
          <w:rFonts w:hint="eastAsia"/>
        </w:rPr>
        <w:t>（一）</w:t>
      </w:r>
      <w:r>
        <w:rPr>
          <w:rStyle w:val="18"/>
        </w:rPr>
        <w:t>供货要求</w:t>
      </w:r>
    </w:p>
    <w:p w14:paraId="14784B60">
      <w:pPr>
        <w:pStyle w:val="23"/>
        <w:numPr>
          <w:ilvl w:val="0"/>
          <w:numId w:val="2"/>
        </w:numPr>
        <w:ind w:firstLineChars="0"/>
        <w:rPr>
          <w:rFonts w:hint="eastAsia" w:ascii="宋体" w:hAnsi="宋体" w:eastAsia="宋体"/>
          <w:sz w:val="24"/>
        </w:rPr>
      </w:pPr>
      <w:r>
        <w:rPr>
          <w:rFonts w:ascii="宋体" w:hAnsi="宋体" w:eastAsia="宋体"/>
          <w:sz w:val="24"/>
        </w:rPr>
        <w:t>产品均应为原厂全新的原装产品，无侵权行为、无任何缺陷隐患，</w:t>
      </w:r>
      <w:r>
        <w:rPr>
          <w:rFonts w:hint="eastAsia" w:ascii="宋体" w:hAnsi="宋体" w:eastAsia="宋体"/>
          <w:sz w:val="24"/>
        </w:rPr>
        <w:t>在中国境内可依常规安全合法使用；</w:t>
      </w:r>
    </w:p>
    <w:p w14:paraId="65F0666F">
      <w:pPr>
        <w:pStyle w:val="23"/>
        <w:numPr>
          <w:ilvl w:val="0"/>
          <w:numId w:val="2"/>
        </w:numPr>
        <w:ind w:firstLineChars="0"/>
        <w:rPr>
          <w:rFonts w:hint="eastAsia" w:ascii="宋体" w:hAnsi="宋体" w:eastAsia="宋体"/>
          <w:sz w:val="24"/>
        </w:rPr>
      </w:pPr>
      <w:r>
        <w:rPr>
          <w:rFonts w:ascii="宋体" w:hAnsi="宋体" w:eastAsia="宋体"/>
          <w:sz w:val="24"/>
        </w:rPr>
        <w:t>产品必须得到制造商认证，符合国家或国际的质量标准；</w:t>
      </w:r>
    </w:p>
    <w:p w14:paraId="529691E1">
      <w:pPr>
        <w:pStyle w:val="23"/>
        <w:numPr>
          <w:ilvl w:val="0"/>
          <w:numId w:val="2"/>
        </w:numPr>
        <w:ind w:firstLineChars="0"/>
        <w:rPr>
          <w:rFonts w:hint="eastAsia" w:ascii="宋体" w:hAnsi="宋体" w:eastAsia="宋体"/>
          <w:sz w:val="24"/>
        </w:rPr>
      </w:pPr>
      <w:r>
        <w:rPr>
          <w:rFonts w:ascii="宋体" w:hAnsi="宋体" w:eastAsia="宋体"/>
          <w:sz w:val="24"/>
        </w:rPr>
        <w:t>浙江省肿瘤医院有权对产品进行第三方的检测，如产品未能达到</w:t>
      </w:r>
      <w:r>
        <w:rPr>
          <w:rFonts w:hint="eastAsia" w:ascii="宋体" w:hAnsi="宋体" w:eastAsia="宋体"/>
          <w:sz w:val="24"/>
        </w:rPr>
        <w:t>调研内容</w:t>
      </w:r>
      <w:r>
        <w:rPr>
          <w:rFonts w:ascii="宋体" w:hAnsi="宋体" w:eastAsia="宋体"/>
          <w:sz w:val="24"/>
        </w:rPr>
        <w:t>的性能参数，可要求无偿更换或单方面终止合同。</w:t>
      </w:r>
    </w:p>
    <w:p w14:paraId="7567519B">
      <w:pPr>
        <w:pStyle w:val="23"/>
        <w:numPr>
          <w:ilvl w:val="0"/>
          <w:numId w:val="2"/>
        </w:numPr>
        <w:ind w:firstLineChars="0"/>
        <w:rPr>
          <w:rFonts w:hint="eastAsia" w:ascii="宋体" w:hAnsi="宋体" w:eastAsia="宋体"/>
          <w:sz w:val="24"/>
        </w:rPr>
      </w:pPr>
      <w:r>
        <w:rPr>
          <w:rFonts w:hint="eastAsia" w:ascii="宋体" w:hAnsi="宋体" w:eastAsia="宋体"/>
          <w:sz w:val="24"/>
        </w:rPr>
        <w:t>本项目的所有软、硬件(如线缆、软件、硬件模块等，包括未列出而系统实施又必需的软件、硬件)需配齐以构成一套完整实用系统，所有辅材采用原装配套产品，没有原装配套的产品的，由供应商提供相应产品并保证其质量安全。</w:t>
      </w:r>
    </w:p>
    <w:p w14:paraId="17B2A497">
      <w:pPr>
        <w:pStyle w:val="23"/>
        <w:numPr>
          <w:ilvl w:val="0"/>
          <w:numId w:val="2"/>
        </w:numPr>
        <w:ind w:firstLineChars="0"/>
        <w:rPr>
          <w:rFonts w:hint="eastAsia" w:ascii="宋体" w:hAnsi="宋体" w:eastAsia="宋体"/>
          <w:sz w:val="24"/>
        </w:rPr>
      </w:pPr>
      <w:r>
        <w:rPr>
          <w:rFonts w:hint="eastAsia" w:ascii="宋体" w:hAnsi="宋体" w:eastAsia="宋体"/>
          <w:sz w:val="24"/>
        </w:rPr>
        <w:t>完成设备的安装调试，电源、相关缆线（网线、光纤线）必须齐全并满足机房实际布局连接要求；新增设备后如涉及到机房布局需要进行调整。</w:t>
      </w:r>
    </w:p>
    <w:p w14:paraId="3B61034E">
      <w:pPr>
        <w:pStyle w:val="23"/>
        <w:numPr>
          <w:ilvl w:val="0"/>
          <w:numId w:val="2"/>
        </w:numPr>
        <w:ind w:firstLineChars="0"/>
        <w:rPr>
          <w:rFonts w:hint="eastAsia" w:ascii="宋体" w:hAnsi="宋体" w:eastAsia="宋体"/>
          <w:sz w:val="24"/>
        </w:rPr>
      </w:pPr>
      <w:r>
        <w:rPr>
          <w:rFonts w:hint="eastAsia" w:ascii="宋体" w:hAnsi="宋体" w:eastAsia="宋体"/>
          <w:sz w:val="24"/>
        </w:rPr>
        <w:t>本次拟调研内容内容除包括上述设备外，还应包括随机的辅助设备、专用电线电缆、随机软件、技术资料（包括操作手册、使用指南、维修指南和含维修网点在内的服务手册等）、设备运行所必需的随机消耗材料，相应的技术服务与质量保证。</w:t>
      </w:r>
    </w:p>
    <w:p w14:paraId="13C8A7FF">
      <w:pPr>
        <w:pStyle w:val="23"/>
        <w:numPr>
          <w:ilvl w:val="0"/>
          <w:numId w:val="2"/>
        </w:numPr>
        <w:ind w:firstLineChars="0"/>
        <w:rPr>
          <w:rFonts w:hint="eastAsia" w:ascii="宋体" w:hAnsi="宋体" w:eastAsia="宋体"/>
          <w:sz w:val="24"/>
        </w:rPr>
      </w:pPr>
      <w:r>
        <w:rPr>
          <w:rFonts w:hint="eastAsia" w:ascii="宋体" w:hAnsi="宋体" w:eastAsia="宋体"/>
          <w:sz w:val="24"/>
        </w:rPr>
        <w:t xml:space="preserve">产品的应详细列明设备的所有技术指标（包括所投产品的品牌、规格型号、详细配置、主要技术参数、随机软件等），明确表示该项指标所涉及的软硬件是标准配置还是选择配置。同时还须包括产品说明书或产品主要技术资料和性能的详细描述，产品制造、安装、验收标准，详细的交货时所配文件清单、主要部件明细表（包括品牌、制造厂名和主要技术参数）等。 </w:t>
      </w:r>
    </w:p>
    <w:p w14:paraId="13E1A141">
      <w:pPr>
        <w:pStyle w:val="23"/>
        <w:numPr>
          <w:ilvl w:val="0"/>
          <w:numId w:val="2"/>
        </w:numPr>
        <w:ind w:firstLineChars="0"/>
        <w:rPr>
          <w:rFonts w:hint="eastAsia" w:ascii="宋体" w:hAnsi="宋体" w:eastAsia="宋体"/>
          <w:sz w:val="24"/>
        </w:rPr>
      </w:pPr>
      <w:r>
        <w:rPr>
          <w:rFonts w:hint="eastAsia" w:ascii="宋体" w:hAnsi="宋体" w:eastAsia="宋体"/>
          <w:sz w:val="24"/>
        </w:rPr>
        <w:t>产品相关所有预装和为本项目安装的软件均为具有合法版权或使用权的正版软件且无质量瑕疵。</w:t>
      </w:r>
    </w:p>
    <w:p w14:paraId="51F3F641">
      <w:pPr>
        <w:pStyle w:val="23"/>
        <w:numPr>
          <w:ilvl w:val="0"/>
          <w:numId w:val="2"/>
        </w:numPr>
        <w:ind w:firstLineChars="0"/>
        <w:rPr>
          <w:rFonts w:ascii="宋体" w:hAnsi="宋体" w:eastAsia="宋体"/>
          <w:sz w:val="24"/>
        </w:rPr>
      </w:pPr>
      <w:r>
        <w:rPr>
          <w:rFonts w:hint="eastAsia" w:ascii="宋体" w:hAnsi="宋体" w:eastAsia="宋体"/>
          <w:sz w:val="24"/>
        </w:rPr>
        <w:t>如遇软件产品升级、改版，应免费提供更新、升级服务。</w:t>
      </w:r>
    </w:p>
    <w:p w14:paraId="232162E7">
      <w:pPr>
        <w:pStyle w:val="23"/>
        <w:numPr>
          <w:ilvl w:val="0"/>
          <w:numId w:val="2"/>
        </w:numPr>
        <w:ind w:firstLineChars="0"/>
        <w:rPr>
          <w:rFonts w:hint="eastAsia" w:ascii="宋体" w:hAnsi="宋体" w:eastAsia="宋体"/>
          <w:sz w:val="24"/>
        </w:rPr>
      </w:pPr>
      <w:r>
        <w:rPr>
          <w:rFonts w:hint="eastAsia" w:ascii="宋体" w:hAnsi="宋体" w:eastAsia="宋体"/>
          <w:sz w:val="24"/>
        </w:rPr>
        <w:t>注：报名单位可对于供货要求提供更细化的内容。</w:t>
      </w:r>
    </w:p>
    <w:p w14:paraId="196CA599">
      <w:pPr>
        <w:pStyle w:val="23"/>
        <w:numPr>
          <w:ilvl w:val="0"/>
          <w:numId w:val="0"/>
        </w:numPr>
        <w:ind w:left="0" w:firstLine="0" w:firstLineChars="0"/>
        <w:rPr>
          <w:rFonts w:hint="eastAsia" w:ascii="宋体" w:hAnsi="宋体" w:eastAsia="宋体"/>
          <w:sz w:val="24"/>
        </w:rPr>
      </w:pPr>
    </w:p>
    <w:p w14:paraId="173B0BEF">
      <w:pPr>
        <w:pStyle w:val="23"/>
        <w:ind w:left="440" w:firstLine="0" w:firstLineChars="0"/>
        <w:rPr>
          <w:rFonts w:hint="eastAsia" w:ascii="宋体" w:hAnsi="宋体" w:eastAsia="宋体"/>
          <w:sz w:val="24"/>
        </w:rPr>
      </w:pPr>
      <w:r>
        <w:rPr>
          <w:rFonts w:ascii="宋体" w:hAnsi="宋体" w:eastAsia="宋体"/>
          <w:sz w:val="24"/>
        </w:rPr>
        <w:tab/>
      </w:r>
    </w:p>
    <w:p w14:paraId="4F458E04">
      <w:pPr>
        <w:rPr>
          <w:rStyle w:val="18"/>
          <w:rFonts w:hint="eastAsia"/>
        </w:rPr>
      </w:pPr>
      <w:r>
        <w:rPr>
          <w:rStyle w:val="18"/>
          <w:rFonts w:hint="eastAsia"/>
        </w:rPr>
        <w:t>（二）</w:t>
      </w:r>
      <w:r>
        <w:rPr>
          <w:rStyle w:val="18"/>
        </w:rPr>
        <w:t>交付时间</w:t>
      </w:r>
    </w:p>
    <w:p w14:paraId="3A660027">
      <w:pPr>
        <w:rPr>
          <w:rFonts w:hint="eastAsia"/>
        </w:rPr>
      </w:pPr>
      <w:r>
        <w:rPr>
          <w:rFonts w:hint="eastAsia"/>
        </w:rPr>
        <w:t>自合同签订之日起3个月内完成软硬件产品的部署实施交付，1年内完成相关安全服务</w:t>
      </w:r>
      <w:r>
        <w:t>。</w:t>
      </w:r>
    </w:p>
    <w:p w14:paraId="7620A3B1">
      <w:pPr>
        <w:rPr>
          <w:rFonts w:hint="eastAsia"/>
        </w:rPr>
      </w:pPr>
    </w:p>
    <w:p w14:paraId="5D34C119">
      <w:pPr>
        <w:rPr>
          <w:rStyle w:val="18"/>
          <w:rFonts w:hint="eastAsia"/>
        </w:rPr>
      </w:pPr>
      <w:r>
        <w:rPr>
          <w:rStyle w:val="18"/>
          <w:rFonts w:hint="eastAsia"/>
        </w:rPr>
        <w:t>（三）</w:t>
      </w:r>
      <w:r>
        <w:rPr>
          <w:rStyle w:val="18"/>
        </w:rPr>
        <w:t>交付地点</w:t>
      </w:r>
    </w:p>
    <w:p w14:paraId="4BE0C967">
      <w:pPr>
        <w:rPr>
          <w:rFonts w:hint="eastAsia"/>
        </w:rPr>
      </w:pPr>
      <w:r>
        <w:t>由浙江省肿瘤医院指定地点，免费送货上门，免费安装调试合格。</w:t>
      </w:r>
    </w:p>
    <w:p w14:paraId="099B4EC9">
      <w:pPr>
        <w:rPr>
          <w:rFonts w:hint="eastAsia"/>
        </w:rPr>
      </w:pPr>
    </w:p>
    <w:p w14:paraId="262A2ABF">
      <w:pPr>
        <w:rPr>
          <w:rStyle w:val="18"/>
          <w:rFonts w:hint="eastAsia"/>
        </w:rPr>
      </w:pPr>
      <w:r>
        <w:rPr>
          <w:rStyle w:val="18"/>
          <w:rFonts w:hint="eastAsia"/>
        </w:rPr>
        <w:t>（四）</w:t>
      </w:r>
      <w:r>
        <w:rPr>
          <w:rStyle w:val="18"/>
        </w:rPr>
        <w:t>实施服务</w:t>
      </w:r>
    </w:p>
    <w:p w14:paraId="3AB69DEE">
      <w:pPr>
        <w:ind w:firstLine="480" w:firstLineChars="200"/>
      </w:pPr>
      <w:r>
        <w:t>为保证项目质量，保证措施、服务响应及时、项目管理（包括项目组织管理、人员管理、技术管理、进度管理、资料管理等），在</w:t>
      </w:r>
      <w:r>
        <w:rPr>
          <w:rFonts w:hint="eastAsia"/>
        </w:rPr>
        <w:t>项目各项内容</w:t>
      </w:r>
      <w:r>
        <w:t>实施期内，提供不少于</w:t>
      </w:r>
      <w:r>
        <w:rPr>
          <w:rFonts w:hint="eastAsia"/>
        </w:rPr>
        <w:t>3人的项目组成员现场支持。</w:t>
      </w:r>
    </w:p>
    <w:p w14:paraId="2FB61A37">
      <w:pPr>
        <w:ind w:firstLine="0" w:firstLineChars="0"/>
        <w:rPr>
          <w:rFonts w:hint="eastAsia"/>
        </w:rPr>
      </w:pPr>
      <w:r>
        <w:rPr>
          <w:rFonts w:hint="eastAsia"/>
        </w:rPr>
        <w:t>注：报名单位可根据拟定拟调研内容提出更细化的实施方案内容。</w:t>
      </w:r>
    </w:p>
    <w:p w14:paraId="0AD58450">
      <w:pPr>
        <w:rPr>
          <w:rStyle w:val="18"/>
          <w:rFonts w:hint="eastAsia"/>
        </w:rPr>
      </w:pPr>
      <w:r>
        <w:rPr>
          <w:rStyle w:val="18"/>
          <w:rFonts w:hint="eastAsia"/>
        </w:rPr>
        <w:t>（五）</w:t>
      </w:r>
      <w:r>
        <w:rPr>
          <w:rStyle w:val="18"/>
        </w:rPr>
        <w:t>验收要求</w:t>
      </w:r>
    </w:p>
    <w:p w14:paraId="3C41A42A">
      <w:pPr>
        <w:pStyle w:val="23"/>
        <w:numPr>
          <w:ilvl w:val="0"/>
          <w:numId w:val="3"/>
        </w:numPr>
        <w:ind w:firstLineChars="0"/>
        <w:rPr>
          <w:rFonts w:hint="eastAsia" w:ascii="宋体" w:hAnsi="宋体" w:eastAsia="宋体"/>
          <w:sz w:val="24"/>
        </w:rPr>
      </w:pPr>
      <w:r>
        <w:rPr>
          <w:rFonts w:hint="eastAsia" w:ascii="宋体" w:hAnsi="宋体" w:eastAsia="宋体"/>
          <w:sz w:val="24"/>
        </w:rPr>
        <w:t>项目完成软硬件部分安装、调试、测试后</w:t>
      </w:r>
      <w:r>
        <w:rPr>
          <w:rFonts w:ascii="宋体" w:hAnsi="宋体" w:eastAsia="宋体"/>
          <w:sz w:val="24"/>
        </w:rPr>
        <w:t>正式移交浙江省肿瘤医院，试运行30个日历日后，如系统运行正常，由供应商提出</w:t>
      </w:r>
      <w:r>
        <w:rPr>
          <w:rFonts w:hint="eastAsia" w:ascii="宋体" w:hAnsi="宋体" w:eastAsia="宋体"/>
          <w:sz w:val="24"/>
          <w:u w:val="single"/>
        </w:rPr>
        <w:t>初验</w:t>
      </w:r>
      <w:r>
        <w:rPr>
          <w:rFonts w:ascii="宋体" w:hAnsi="宋体" w:eastAsia="宋体"/>
          <w:sz w:val="24"/>
        </w:rPr>
        <w:t>申请并出具项目实施情况</w:t>
      </w:r>
      <w:r>
        <w:rPr>
          <w:rFonts w:hint="eastAsia" w:ascii="宋体" w:hAnsi="宋体" w:eastAsia="宋体"/>
          <w:sz w:val="24"/>
          <w:u w:val="single"/>
        </w:rPr>
        <w:t>初验</w:t>
      </w:r>
      <w:r>
        <w:rPr>
          <w:rFonts w:ascii="宋体" w:hAnsi="宋体" w:eastAsia="宋体"/>
          <w:sz w:val="24"/>
          <w:u w:val="single"/>
        </w:rPr>
        <w:t>报告</w:t>
      </w:r>
      <w:r>
        <w:rPr>
          <w:rFonts w:ascii="宋体" w:hAnsi="宋体" w:eastAsia="宋体"/>
          <w:sz w:val="24"/>
        </w:rPr>
        <w:t>。</w:t>
      </w:r>
    </w:p>
    <w:p w14:paraId="3D43B474">
      <w:pPr>
        <w:pStyle w:val="23"/>
        <w:numPr>
          <w:ilvl w:val="0"/>
          <w:numId w:val="3"/>
        </w:numPr>
        <w:ind w:firstLineChars="0"/>
        <w:rPr>
          <w:rFonts w:hint="eastAsia" w:ascii="宋体" w:hAnsi="宋体" w:eastAsia="宋体"/>
          <w:sz w:val="24"/>
        </w:rPr>
      </w:pPr>
      <w:r>
        <w:rPr>
          <w:rFonts w:hint="eastAsia" w:ascii="宋体" w:hAnsi="宋体" w:eastAsia="宋体"/>
          <w:sz w:val="24"/>
        </w:rPr>
        <w:t>项目完成剩余服务部分内容后，</w:t>
      </w:r>
      <w:r>
        <w:rPr>
          <w:rFonts w:ascii="宋体" w:hAnsi="宋体" w:eastAsia="宋体"/>
          <w:sz w:val="24"/>
        </w:rPr>
        <w:t>如</w:t>
      </w:r>
      <w:r>
        <w:rPr>
          <w:rFonts w:hint="eastAsia" w:ascii="宋体" w:hAnsi="宋体" w:eastAsia="宋体"/>
          <w:sz w:val="24"/>
        </w:rPr>
        <w:t>服务内容根据要求实施完毕</w:t>
      </w:r>
      <w:r>
        <w:rPr>
          <w:rFonts w:ascii="宋体" w:hAnsi="宋体" w:eastAsia="宋体"/>
          <w:sz w:val="24"/>
        </w:rPr>
        <w:t>，由供应商提出</w:t>
      </w:r>
      <w:r>
        <w:rPr>
          <w:rFonts w:hint="eastAsia" w:ascii="宋体" w:hAnsi="宋体" w:eastAsia="宋体"/>
          <w:sz w:val="24"/>
          <w:u w:val="single"/>
        </w:rPr>
        <w:t>终验</w:t>
      </w:r>
      <w:r>
        <w:rPr>
          <w:rFonts w:ascii="宋体" w:hAnsi="宋体" w:eastAsia="宋体"/>
          <w:sz w:val="24"/>
        </w:rPr>
        <w:t>申请并出具项目实施情况</w:t>
      </w:r>
      <w:r>
        <w:rPr>
          <w:rFonts w:hint="eastAsia" w:ascii="宋体" w:hAnsi="宋体" w:eastAsia="宋体"/>
          <w:sz w:val="24"/>
          <w:u w:val="single"/>
        </w:rPr>
        <w:t>终验</w:t>
      </w:r>
      <w:r>
        <w:rPr>
          <w:rFonts w:ascii="宋体" w:hAnsi="宋体" w:eastAsia="宋体"/>
          <w:sz w:val="24"/>
          <w:u w:val="single"/>
        </w:rPr>
        <w:t>报告</w:t>
      </w:r>
      <w:r>
        <w:rPr>
          <w:rFonts w:ascii="宋体" w:hAnsi="宋体" w:eastAsia="宋体"/>
          <w:sz w:val="24"/>
        </w:rPr>
        <w:t>。</w:t>
      </w:r>
    </w:p>
    <w:p w14:paraId="696E8DC5">
      <w:pPr>
        <w:pStyle w:val="23"/>
        <w:numPr>
          <w:ilvl w:val="0"/>
          <w:numId w:val="3"/>
        </w:numPr>
        <w:ind w:firstLineChars="0"/>
        <w:rPr>
          <w:rFonts w:hint="eastAsia" w:ascii="宋体" w:hAnsi="宋体" w:eastAsia="宋体"/>
          <w:sz w:val="24"/>
        </w:rPr>
      </w:pPr>
      <w:r>
        <w:rPr>
          <w:rFonts w:ascii="宋体" w:hAnsi="宋体" w:eastAsia="宋体"/>
          <w:sz w:val="24"/>
        </w:rPr>
        <w:t>交付验收标准依次序对照适用标准为：①符合中华人民共和国国家安全质量标准、环保标准或行业标准；②符合招标文件、投标文件及浙江省肿瘤医院认可的合理最佳配置、参数及各项要求。</w:t>
      </w:r>
    </w:p>
    <w:p w14:paraId="5141B148">
      <w:pPr>
        <w:pStyle w:val="2"/>
        <w:rPr>
          <w:rFonts w:hint="eastAsia"/>
        </w:rPr>
      </w:pPr>
      <w:r>
        <w:rPr>
          <w:rFonts w:hint="eastAsia"/>
        </w:rPr>
        <w:t>六、</w:t>
      </w:r>
      <w:r>
        <w:t xml:space="preserve"> 服务要求</w:t>
      </w:r>
    </w:p>
    <w:p w14:paraId="603AF484">
      <w:pPr>
        <w:rPr>
          <w:rStyle w:val="18"/>
          <w:rFonts w:hint="eastAsia"/>
        </w:rPr>
      </w:pPr>
      <w:r>
        <w:rPr>
          <w:rStyle w:val="18"/>
          <w:rFonts w:hint="eastAsia"/>
        </w:rPr>
        <w:t>（一）</w:t>
      </w:r>
      <w:r>
        <w:rPr>
          <w:rStyle w:val="18"/>
        </w:rPr>
        <w:t>售后服务</w:t>
      </w:r>
    </w:p>
    <w:p w14:paraId="50C3523B">
      <w:pPr>
        <w:pStyle w:val="23"/>
        <w:numPr>
          <w:ilvl w:val="0"/>
          <w:numId w:val="4"/>
        </w:numPr>
        <w:ind w:firstLineChars="0"/>
        <w:rPr>
          <w:rFonts w:hint="eastAsia" w:ascii="宋体" w:hAnsi="宋体" w:eastAsia="宋体"/>
          <w:sz w:val="24"/>
        </w:rPr>
      </w:pPr>
      <w:r>
        <w:rPr>
          <w:rFonts w:ascii="宋体" w:hAnsi="宋体" w:eastAsia="宋体"/>
          <w:sz w:val="24"/>
        </w:rPr>
        <w:t>保修期自项目验收合格之日起计算，</w:t>
      </w:r>
      <w:r>
        <w:rPr>
          <w:rFonts w:hint="eastAsia" w:ascii="宋体" w:hAnsi="宋体" w:eastAsia="宋体"/>
          <w:sz w:val="24"/>
          <w:u w:val="single"/>
        </w:rPr>
        <w:t>软硬件产品</w:t>
      </w:r>
      <w:r>
        <w:rPr>
          <w:rFonts w:ascii="宋体" w:hAnsi="宋体" w:eastAsia="宋体"/>
          <w:sz w:val="24"/>
          <w:u w:val="single"/>
        </w:rPr>
        <w:t>质保</w:t>
      </w:r>
      <w:r>
        <w:rPr>
          <w:rFonts w:hint="eastAsia" w:ascii="宋体" w:hAnsi="宋体" w:eastAsia="宋体"/>
          <w:sz w:val="24"/>
          <w:u w:val="single"/>
        </w:rPr>
        <w:t>详见清单要求</w:t>
      </w:r>
      <w:r>
        <w:rPr>
          <w:rFonts w:ascii="宋体" w:hAnsi="宋体" w:eastAsia="宋体"/>
          <w:sz w:val="24"/>
        </w:rPr>
        <w:t>，</w:t>
      </w:r>
      <w:r>
        <w:rPr>
          <w:rFonts w:hint="eastAsia" w:ascii="宋体" w:hAnsi="宋体" w:eastAsia="宋体"/>
          <w:sz w:val="24"/>
          <w:u w:val="single"/>
        </w:rPr>
        <w:t>服务类内容服务1年</w:t>
      </w:r>
      <w:r>
        <w:rPr>
          <w:rFonts w:hint="eastAsia" w:ascii="宋体" w:hAnsi="宋体" w:eastAsia="宋体"/>
          <w:sz w:val="24"/>
        </w:rPr>
        <w:t>，</w:t>
      </w:r>
      <w:r>
        <w:rPr>
          <w:rFonts w:ascii="宋体" w:hAnsi="宋体" w:eastAsia="宋体"/>
          <w:sz w:val="24"/>
        </w:rPr>
        <w:t>报名单位应对保修期的具体期限做出承诺，保修期内对所供产品提供免费上门保修保用服务。</w:t>
      </w:r>
    </w:p>
    <w:p w14:paraId="703678F2">
      <w:pPr>
        <w:pStyle w:val="23"/>
        <w:numPr>
          <w:ilvl w:val="0"/>
          <w:numId w:val="4"/>
        </w:numPr>
        <w:ind w:firstLineChars="0"/>
        <w:rPr>
          <w:rFonts w:hint="eastAsia" w:ascii="宋体" w:hAnsi="宋体" w:eastAsia="宋体"/>
          <w:sz w:val="24"/>
        </w:rPr>
      </w:pPr>
      <w:r>
        <w:rPr>
          <w:rFonts w:ascii="宋体" w:hAnsi="宋体" w:eastAsia="宋体"/>
          <w:sz w:val="24"/>
        </w:rPr>
        <w:t>保修期内负责对所供产品实行包退、包维护保养，所有产品的维修、版本升级均为免费。</w:t>
      </w:r>
    </w:p>
    <w:p w14:paraId="74CAE21C">
      <w:pPr>
        <w:pStyle w:val="23"/>
        <w:numPr>
          <w:ilvl w:val="0"/>
          <w:numId w:val="4"/>
        </w:numPr>
        <w:ind w:firstLineChars="0"/>
        <w:rPr>
          <w:rFonts w:hint="eastAsia" w:ascii="宋体" w:hAnsi="宋体" w:eastAsia="宋体"/>
          <w:sz w:val="24"/>
        </w:rPr>
      </w:pPr>
      <w:r>
        <w:rPr>
          <w:rFonts w:hint="eastAsia" w:ascii="宋体" w:hAnsi="宋体" w:eastAsia="宋体"/>
          <w:sz w:val="24"/>
        </w:rPr>
        <w:t>报名单位须提供不少于</w:t>
      </w:r>
      <w:r>
        <w:rPr>
          <w:rFonts w:hint="eastAsia" w:ascii="宋体" w:hAnsi="宋体" w:eastAsia="宋体"/>
          <w:sz w:val="24"/>
          <w:u w:val="single"/>
        </w:rPr>
        <w:t>四次/年</w:t>
      </w:r>
      <w:r>
        <w:rPr>
          <w:rFonts w:hint="eastAsia" w:ascii="宋体" w:hAnsi="宋体" w:eastAsia="宋体"/>
          <w:sz w:val="24"/>
        </w:rPr>
        <w:t>的巡检服务，巡检对象须包括医院现有的核心网络安全设备的巡检服务。</w:t>
      </w:r>
    </w:p>
    <w:p w14:paraId="2651324D">
      <w:pPr>
        <w:pStyle w:val="23"/>
        <w:numPr>
          <w:ilvl w:val="0"/>
          <w:numId w:val="4"/>
        </w:numPr>
        <w:ind w:firstLineChars="0"/>
        <w:rPr>
          <w:rFonts w:hint="eastAsia" w:ascii="宋体" w:hAnsi="宋体" w:eastAsia="宋体"/>
          <w:sz w:val="24"/>
        </w:rPr>
      </w:pPr>
      <w:r>
        <w:rPr>
          <w:rFonts w:hint="eastAsia" w:ascii="宋体" w:hAnsi="宋体" w:eastAsia="宋体"/>
          <w:sz w:val="24"/>
        </w:rPr>
        <w:t>提供详细的实施方案，若在实施过程中造成医院业务非计划性停机或者数据丢失，由中标方负全部责任并赔偿院方因此造成的全部损失。</w:t>
      </w:r>
    </w:p>
    <w:p w14:paraId="14037DA1">
      <w:pPr>
        <w:pStyle w:val="23"/>
        <w:numPr>
          <w:ilvl w:val="0"/>
          <w:numId w:val="4"/>
        </w:numPr>
        <w:ind w:firstLineChars="0"/>
        <w:rPr>
          <w:rFonts w:hint="eastAsia" w:ascii="宋体" w:hAnsi="宋体" w:eastAsia="宋体"/>
          <w:sz w:val="24"/>
        </w:rPr>
      </w:pPr>
      <w:r>
        <w:rPr>
          <w:rFonts w:hint="eastAsia" w:ascii="宋体" w:hAnsi="宋体" w:eastAsia="宋体"/>
          <w:sz w:val="24"/>
        </w:rPr>
        <w:t>报名单位需充分考虑医院现有的软、硬件的利旧方案，并免费提供设备搬迁服务、机柜搬移服务和数据迁移服务，所产生的第三方费用由中标方承担。</w:t>
      </w:r>
    </w:p>
    <w:p w14:paraId="64F7522B">
      <w:pPr>
        <w:pStyle w:val="23"/>
        <w:numPr>
          <w:ilvl w:val="0"/>
          <w:numId w:val="4"/>
        </w:numPr>
        <w:ind w:firstLineChars="0"/>
        <w:rPr>
          <w:rFonts w:hint="eastAsia" w:ascii="宋体" w:hAnsi="宋体" w:eastAsia="宋体"/>
          <w:sz w:val="24"/>
        </w:rPr>
      </w:pPr>
      <w:r>
        <w:rPr>
          <w:rFonts w:hint="eastAsia" w:ascii="宋体" w:hAnsi="宋体" w:eastAsia="宋体"/>
          <w:sz w:val="24"/>
        </w:rPr>
        <w:t>报名单位须具备全专业技术团队服务能力并针对本项目组建专门的实施团队，且实施团队不少于5人，要求投标时提供相关工程师社保证明以及证书复印件，后续实施的工程师必须与投标文件中的工程师一一对应。</w:t>
      </w:r>
    </w:p>
    <w:p w14:paraId="7F181CCD">
      <w:pPr>
        <w:pStyle w:val="23"/>
        <w:numPr>
          <w:ilvl w:val="0"/>
          <w:numId w:val="4"/>
        </w:numPr>
        <w:ind w:firstLineChars="0"/>
        <w:rPr>
          <w:rFonts w:hint="eastAsia" w:ascii="宋体" w:hAnsi="宋体" w:eastAsia="宋体"/>
          <w:b/>
          <w:bCs/>
          <w:sz w:val="24"/>
        </w:rPr>
      </w:pPr>
      <w:r>
        <w:rPr>
          <w:rFonts w:hint="eastAsia" w:ascii="宋体" w:hAnsi="宋体" w:eastAsia="宋体"/>
          <w:b/>
          <w:bCs/>
          <w:sz w:val="24"/>
        </w:rPr>
        <w:t>报名单位须提供7*24小时技术支持，全年不少于40个工作日的现场技术支持。</w:t>
      </w:r>
    </w:p>
    <w:p w14:paraId="5B15D4DD">
      <w:pPr>
        <w:pStyle w:val="23"/>
        <w:numPr>
          <w:ilvl w:val="0"/>
          <w:numId w:val="4"/>
        </w:numPr>
        <w:ind w:firstLineChars="0"/>
        <w:rPr>
          <w:rFonts w:hint="eastAsia" w:ascii="宋体" w:hAnsi="宋体" w:eastAsia="宋体"/>
          <w:sz w:val="24"/>
        </w:rPr>
      </w:pPr>
      <w:r>
        <w:rPr>
          <w:rFonts w:hint="eastAsia" w:ascii="宋体" w:hAnsi="宋体" w:eastAsia="宋体"/>
          <w:sz w:val="24"/>
        </w:rPr>
        <w:t>报名单位须提供现场技术保障服务，协调原厂人员实行网络安全检查和加固，并向用户汇报各项工作情况。</w:t>
      </w:r>
    </w:p>
    <w:p w14:paraId="51C330B6">
      <w:pPr>
        <w:pStyle w:val="23"/>
        <w:numPr>
          <w:ilvl w:val="0"/>
          <w:numId w:val="4"/>
        </w:numPr>
        <w:ind w:firstLineChars="0"/>
        <w:rPr>
          <w:rFonts w:ascii="宋体" w:hAnsi="宋体" w:eastAsia="宋体"/>
          <w:sz w:val="24"/>
        </w:rPr>
      </w:pPr>
      <w:r>
        <w:rPr>
          <w:rFonts w:hint="eastAsia" w:ascii="宋体" w:hAnsi="宋体" w:eastAsia="宋体"/>
          <w:sz w:val="24"/>
        </w:rPr>
        <w:t>报名单位</w:t>
      </w:r>
      <w:r>
        <w:rPr>
          <w:rFonts w:ascii="宋体" w:hAnsi="宋体" w:eastAsia="宋体"/>
          <w:sz w:val="24"/>
        </w:rPr>
        <w:t>应提供系统扩充、升级方面的技术支持服务。</w:t>
      </w:r>
    </w:p>
    <w:p w14:paraId="23A2B154">
      <w:pPr>
        <w:pStyle w:val="23"/>
        <w:numPr>
          <w:ilvl w:val="0"/>
          <w:numId w:val="0"/>
        </w:numPr>
        <w:ind w:left="0" w:firstLine="0" w:firstLineChars="0"/>
        <w:rPr>
          <w:rFonts w:hint="eastAsia" w:ascii="宋体" w:hAnsi="宋体" w:eastAsia="宋体"/>
          <w:sz w:val="24"/>
        </w:rPr>
      </w:pPr>
      <w:r>
        <w:rPr>
          <w:rFonts w:hint="eastAsia" w:ascii="宋体" w:hAnsi="宋体" w:eastAsia="宋体"/>
          <w:sz w:val="24"/>
        </w:rPr>
        <w:t>注：报名单位可对于售后服务提供更细化的内容。</w:t>
      </w:r>
    </w:p>
    <w:p w14:paraId="1DE28AC7">
      <w:pPr>
        <w:rPr>
          <w:rFonts w:hint="eastAsia"/>
        </w:rPr>
      </w:pPr>
      <w:r>
        <w:tab/>
      </w:r>
    </w:p>
    <w:p w14:paraId="16F2C059">
      <w:pPr>
        <w:rPr>
          <w:rStyle w:val="18"/>
          <w:rFonts w:hint="eastAsia"/>
        </w:rPr>
      </w:pPr>
      <w:r>
        <w:rPr>
          <w:rStyle w:val="18"/>
          <w:rFonts w:hint="eastAsia"/>
        </w:rPr>
        <w:t>（二）</w:t>
      </w:r>
      <w:r>
        <w:rPr>
          <w:rStyle w:val="18"/>
        </w:rPr>
        <w:t>培训要求</w:t>
      </w:r>
    </w:p>
    <w:p w14:paraId="79C9D7D1">
      <w:pPr>
        <w:pStyle w:val="23"/>
        <w:numPr>
          <w:ilvl w:val="0"/>
          <w:numId w:val="5"/>
        </w:numPr>
        <w:ind w:firstLineChars="0"/>
        <w:rPr>
          <w:rFonts w:hint="eastAsia" w:ascii="宋体" w:hAnsi="宋体" w:eastAsia="宋体"/>
          <w:sz w:val="24"/>
        </w:rPr>
      </w:pPr>
      <w:r>
        <w:rPr>
          <w:rFonts w:ascii="宋体" w:hAnsi="宋体" w:eastAsia="宋体"/>
          <w:sz w:val="24"/>
        </w:rPr>
        <w:t>基本培训要求：针对系统管理人员提供产品的配置、操作及维护培训，主要内容为平台系统的基本结构、功能与特性，日常使用操作、维护与管理，常见故障的排除，紧急情况的处理等，直到业主工程师熟悉使用。培训时间不少于</w:t>
      </w:r>
      <w:r>
        <w:rPr>
          <w:rFonts w:hint="eastAsia" w:ascii="宋体" w:hAnsi="宋体" w:eastAsia="宋体"/>
          <w:sz w:val="24"/>
        </w:rPr>
        <w:t>1</w:t>
      </w:r>
      <w:r>
        <w:rPr>
          <w:rFonts w:ascii="宋体" w:hAnsi="宋体" w:eastAsia="宋体"/>
          <w:sz w:val="24"/>
        </w:rPr>
        <w:t>天。</w:t>
      </w:r>
    </w:p>
    <w:p w14:paraId="4F6963B0">
      <w:pPr>
        <w:pStyle w:val="23"/>
        <w:numPr>
          <w:ilvl w:val="0"/>
          <w:numId w:val="5"/>
        </w:numPr>
        <w:ind w:firstLineChars="0"/>
        <w:rPr>
          <w:rFonts w:hint="eastAsia" w:ascii="宋体" w:hAnsi="宋体" w:eastAsia="宋体"/>
          <w:sz w:val="24"/>
        </w:rPr>
      </w:pPr>
      <w:r>
        <w:rPr>
          <w:rFonts w:ascii="宋体" w:hAnsi="宋体" w:eastAsia="宋体"/>
          <w:sz w:val="24"/>
        </w:rPr>
        <w:t>用户使用培训：针对业务人员使用操作培训，主要内容为平台系统基本情况与功能介绍、实践操作，技术指导等。培训时间不少于3天。</w:t>
      </w:r>
    </w:p>
    <w:p w14:paraId="19222D08">
      <w:pPr>
        <w:pStyle w:val="23"/>
        <w:numPr>
          <w:ilvl w:val="0"/>
          <w:numId w:val="5"/>
        </w:numPr>
        <w:ind w:firstLineChars="0"/>
        <w:rPr>
          <w:rFonts w:hint="eastAsia" w:ascii="宋体" w:hAnsi="宋体" w:eastAsia="宋体"/>
          <w:sz w:val="24"/>
        </w:rPr>
      </w:pPr>
      <w:r>
        <w:rPr>
          <w:rFonts w:ascii="宋体" w:hAnsi="宋体" w:eastAsia="宋体"/>
          <w:sz w:val="24"/>
        </w:rPr>
        <w:t>培训地点：平台系统安装所在地，具体由浙江省肿瘤医院确定，人数不限。</w:t>
      </w:r>
    </w:p>
    <w:p w14:paraId="4F265A6E">
      <w:pPr>
        <w:pStyle w:val="23"/>
        <w:numPr>
          <w:ilvl w:val="0"/>
          <w:numId w:val="5"/>
        </w:numPr>
        <w:ind w:firstLineChars="0"/>
        <w:rPr>
          <w:rFonts w:ascii="宋体" w:hAnsi="宋体" w:eastAsia="宋体"/>
          <w:sz w:val="24"/>
        </w:rPr>
      </w:pPr>
      <w:r>
        <w:rPr>
          <w:rFonts w:ascii="宋体" w:hAnsi="宋体" w:eastAsia="宋体"/>
          <w:sz w:val="24"/>
        </w:rPr>
        <w:t>维保期内提供不少于6次的集中培训服务。</w:t>
      </w:r>
    </w:p>
    <w:p w14:paraId="3976CF32">
      <w:pPr>
        <w:pStyle w:val="23"/>
        <w:numPr>
          <w:ilvl w:val="0"/>
          <w:numId w:val="0"/>
        </w:numPr>
        <w:ind w:left="0" w:firstLine="0" w:firstLineChars="0"/>
        <w:rPr>
          <w:rFonts w:hint="eastAsia" w:ascii="宋体" w:hAnsi="宋体" w:eastAsia="宋体"/>
          <w:sz w:val="24"/>
        </w:rPr>
      </w:pPr>
      <w:r>
        <w:rPr>
          <w:rFonts w:hint="eastAsia" w:ascii="宋体" w:hAnsi="宋体" w:eastAsia="宋体"/>
          <w:sz w:val="24"/>
        </w:rPr>
        <w:t>注：报名单位可根据上述需求提供更细化的培训内容。</w:t>
      </w:r>
    </w:p>
    <w:p w14:paraId="3FD421B7">
      <w:pPr>
        <w:pStyle w:val="2"/>
        <w:rPr>
          <w:rFonts w:hint="eastAsia"/>
        </w:rPr>
      </w:pPr>
      <w:r>
        <w:rPr>
          <w:rFonts w:hint="eastAsia"/>
        </w:rPr>
        <w:t>七、调研要求</w:t>
      </w:r>
    </w:p>
    <w:p w14:paraId="481E2FFD">
      <w:pPr>
        <w:rPr>
          <w:rFonts w:hint="eastAsia"/>
        </w:rPr>
      </w:pPr>
      <w:r>
        <w:rPr>
          <w:rFonts w:hint="eastAsia"/>
        </w:rPr>
        <w:t>1、面向集成商、服务商进行本次项目</w:t>
      </w:r>
      <w:r>
        <w:rPr>
          <w:rFonts w:hint="eastAsia"/>
          <w:lang w:val="en-US" w:eastAsia="zh-CN"/>
        </w:rPr>
        <w:t>方案征集</w:t>
      </w:r>
      <w:r>
        <w:rPr>
          <w:rFonts w:hint="eastAsia"/>
        </w:rPr>
        <w:t>。</w:t>
      </w:r>
    </w:p>
    <w:p w14:paraId="4923D3D4">
      <w:pPr>
        <w:rPr>
          <w:rFonts w:hint="eastAsia"/>
        </w:rPr>
      </w:pPr>
      <w:r>
        <w:rPr>
          <w:rFonts w:hint="eastAsia"/>
        </w:rPr>
        <w:t>2、请对拟调研内容中各项各准备至少3个设备/系统/服务商选型（1</w:t>
      </w:r>
      <w:r>
        <w:rPr>
          <w:rFonts w:hint="eastAsia"/>
          <w:lang w:val="en-US" w:eastAsia="zh-CN"/>
        </w:rPr>
        <w:t>2</w:t>
      </w:r>
      <w:r>
        <w:rPr>
          <w:rFonts w:hint="eastAsia"/>
        </w:rPr>
        <w:t>-1</w:t>
      </w:r>
      <w:r>
        <w:rPr>
          <w:rFonts w:hint="eastAsia"/>
          <w:lang w:val="en-US" w:eastAsia="zh-CN"/>
        </w:rPr>
        <w:t>4</w:t>
      </w:r>
      <w:r>
        <w:rPr>
          <w:rFonts w:hint="eastAsia"/>
        </w:rPr>
        <w:t>项只需1个选型），详细描述参数及功能，分别进行分项报价。</w:t>
      </w:r>
    </w:p>
    <w:p w14:paraId="7E823A76">
      <w:pPr>
        <w:rPr>
          <w:rFonts w:hint="eastAsia"/>
        </w:rPr>
      </w:pPr>
      <w:r>
        <w:rPr>
          <w:rFonts w:hint="eastAsia"/>
        </w:rPr>
        <w:t>3、综合出具针对我院的信息安全改造优化方案，提出合理化建议，进行短期和长期的安全建设规划。</w:t>
      </w:r>
    </w:p>
    <w:p w14:paraId="6509C7E3">
      <w:pPr>
        <w:rPr>
          <w:rFonts w:hint="eastAsia"/>
        </w:rPr>
      </w:pPr>
      <w:r>
        <w:rPr>
          <w:rFonts w:hint="eastAsia"/>
        </w:rPr>
        <w:t>4、报价包含达到项目实施条件的一切内容，不再增加额外费用。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nsJR0bAh+SimSun">
    <w:altName w:val="微软雅黑"/>
    <w:panose1 w:val="00000000000000000000"/>
    <w:charset w:val="00"/>
    <w:family w:val="auto"/>
    <w:pitch w:val="default"/>
    <w:sig w:usb0="00000000" w:usb1="0000000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8BE53"/>
    <w:multiLevelType w:val="singleLevel"/>
    <w:tmpl w:val="B938BE53"/>
    <w:lvl w:ilvl="0" w:tentative="0">
      <w:start w:val="1"/>
      <w:numFmt w:val="chineseCounting"/>
      <w:suff w:val="space"/>
      <w:lvlText w:val="%1、"/>
      <w:lvlJc w:val="left"/>
      <w:rPr>
        <w:rFonts w:hint="eastAsia"/>
      </w:rPr>
    </w:lvl>
  </w:abstractNum>
  <w:abstractNum w:abstractNumId="1">
    <w:nsid w:val="08747A43"/>
    <w:multiLevelType w:val="multilevel"/>
    <w:tmpl w:val="08747A4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972102F"/>
    <w:multiLevelType w:val="multilevel"/>
    <w:tmpl w:val="0972102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92225BA"/>
    <w:multiLevelType w:val="multilevel"/>
    <w:tmpl w:val="292225B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6AE6649"/>
    <w:multiLevelType w:val="multilevel"/>
    <w:tmpl w:val="66AE664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xMWYxOGI4ZjczZmY3OTcyZDhhYjFkYzQyMjJiOTgifQ=="/>
  </w:docVars>
  <w:rsids>
    <w:rsidRoot w:val="003D1B52"/>
    <w:rsid w:val="000069B1"/>
    <w:rsid w:val="000118BA"/>
    <w:rsid w:val="00016F52"/>
    <w:rsid w:val="00051ED9"/>
    <w:rsid w:val="00057A76"/>
    <w:rsid w:val="000667E7"/>
    <w:rsid w:val="0008465C"/>
    <w:rsid w:val="0013771F"/>
    <w:rsid w:val="001535F4"/>
    <w:rsid w:val="001D3132"/>
    <w:rsid w:val="001E1752"/>
    <w:rsid w:val="001E71E6"/>
    <w:rsid w:val="00232886"/>
    <w:rsid w:val="0025323A"/>
    <w:rsid w:val="0028724C"/>
    <w:rsid w:val="002A3CED"/>
    <w:rsid w:val="002A50D5"/>
    <w:rsid w:val="002A5EC3"/>
    <w:rsid w:val="002E23A6"/>
    <w:rsid w:val="002E4636"/>
    <w:rsid w:val="002E6B46"/>
    <w:rsid w:val="002F4124"/>
    <w:rsid w:val="00301374"/>
    <w:rsid w:val="003028B4"/>
    <w:rsid w:val="00311FEC"/>
    <w:rsid w:val="003566F9"/>
    <w:rsid w:val="0038542D"/>
    <w:rsid w:val="003C0D3A"/>
    <w:rsid w:val="003D1B52"/>
    <w:rsid w:val="004055CB"/>
    <w:rsid w:val="00441064"/>
    <w:rsid w:val="00457B7E"/>
    <w:rsid w:val="00510463"/>
    <w:rsid w:val="00510AC3"/>
    <w:rsid w:val="0051241D"/>
    <w:rsid w:val="0052143A"/>
    <w:rsid w:val="00523ED8"/>
    <w:rsid w:val="00525B4E"/>
    <w:rsid w:val="00572E33"/>
    <w:rsid w:val="00590B40"/>
    <w:rsid w:val="005D2C45"/>
    <w:rsid w:val="005D77D1"/>
    <w:rsid w:val="005F48A8"/>
    <w:rsid w:val="00626FD6"/>
    <w:rsid w:val="006902C7"/>
    <w:rsid w:val="006A07F8"/>
    <w:rsid w:val="006B16AA"/>
    <w:rsid w:val="006C0347"/>
    <w:rsid w:val="006C4D00"/>
    <w:rsid w:val="006D16FA"/>
    <w:rsid w:val="006F4406"/>
    <w:rsid w:val="0070439B"/>
    <w:rsid w:val="0071182F"/>
    <w:rsid w:val="00756FFB"/>
    <w:rsid w:val="00764875"/>
    <w:rsid w:val="007676C1"/>
    <w:rsid w:val="0078196B"/>
    <w:rsid w:val="007E1D2F"/>
    <w:rsid w:val="007E5D42"/>
    <w:rsid w:val="0083606B"/>
    <w:rsid w:val="00854736"/>
    <w:rsid w:val="0088070E"/>
    <w:rsid w:val="008B7D48"/>
    <w:rsid w:val="008C3CA6"/>
    <w:rsid w:val="008F4292"/>
    <w:rsid w:val="00914E41"/>
    <w:rsid w:val="0094254E"/>
    <w:rsid w:val="009826A4"/>
    <w:rsid w:val="009D6684"/>
    <w:rsid w:val="00A14B23"/>
    <w:rsid w:val="00A240C7"/>
    <w:rsid w:val="00A359C6"/>
    <w:rsid w:val="00A55792"/>
    <w:rsid w:val="00A57E24"/>
    <w:rsid w:val="00A66850"/>
    <w:rsid w:val="00A87D00"/>
    <w:rsid w:val="00AB64DF"/>
    <w:rsid w:val="00AC759A"/>
    <w:rsid w:val="00B06D0A"/>
    <w:rsid w:val="00B1735C"/>
    <w:rsid w:val="00B33DD9"/>
    <w:rsid w:val="00B450EF"/>
    <w:rsid w:val="00B5443F"/>
    <w:rsid w:val="00B56528"/>
    <w:rsid w:val="00B642EF"/>
    <w:rsid w:val="00C0540F"/>
    <w:rsid w:val="00CC57C2"/>
    <w:rsid w:val="00D42ADF"/>
    <w:rsid w:val="00D61E6D"/>
    <w:rsid w:val="00D8204D"/>
    <w:rsid w:val="00D8254C"/>
    <w:rsid w:val="00DC74F4"/>
    <w:rsid w:val="00DD3634"/>
    <w:rsid w:val="00DF3063"/>
    <w:rsid w:val="00E35062"/>
    <w:rsid w:val="00E36291"/>
    <w:rsid w:val="00E91915"/>
    <w:rsid w:val="00EA259C"/>
    <w:rsid w:val="00EB27EF"/>
    <w:rsid w:val="00EC3403"/>
    <w:rsid w:val="00F14E7C"/>
    <w:rsid w:val="00F30264"/>
    <w:rsid w:val="00F37C5E"/>
    <w:rsid w:val="00F66118"/>
    <w:rsid w:val="00F84BC9"/>
    <w:rsid w:val="00FB0AD5"/>
    <w:rsid w:val="00FF6F69"/>
    <w:rsid w:val="01170C55"/>
    <w:rsid w:val="014C11D0"/>
    <w:rsid w:val="04275653"/>
    <w:rsid w:val="0433224A"/>
    <w:rsid w:val="04CE5ACF"/>
    <w:rsid w:val="04E17B70"/>
    <w:rsid w:val="056106F1"/>
    <w:rsid w:val="05F257ED"/>
    <w:rsid w:val="0837398B"/>
    <w:rsid w:val="08C72F61"/>
    <w:rsid w:val="08CA47FF"/>
    <w:rsid w:val="08F655F4"/>
    <w:rsid w:val="09AB4631"/>
    <w:rsid w:val="0A740EC6"/>
    <w:rsid w:val="0C853374"/>
    <w:rsid w:val="0E342E47"/>
    <w:rsid w:val="0E9733D5"/>
    <w:rsid w:val="0F4C5F6E"/>
    <w:rsid w:val="100E6DC1"/>
    <w:rsid w:val="106519DD"/>
    <w:rsid w:val="10AD2008"/>
    <w:rsid w:val="10C81F6C"/>
    <w:rsid w:val="12084563"/>
    <w:rsid w:val="12322F50"/>
    <w:rsid w:val="124675EC"/>
    <w:rsid w:val="13712447"/>
    <w:rsid w:val="13743CE5"/>
    <w:rsid w:val="13D80718"/>
    <w:rsid w:val="154871D8"/>
    <w:rsid w:val="15E11B06"/>
    <w:rsid w:val="16846935"/>
    <w:rsid w:val="17760A9A"/>
    <w:rsid w:val="177B3894"/>
    <w:rsid w:val="1B5E7755"/>
    <w:rsid w:val="1D547061"/>
    <w:rsid w:val="1E162569"/>
    <w:rsid w:val="1E9B2A6E"/>
    <w:rsid w:val="1F4924CA"/>
    <w:rsid w:val="2364787B"/>
    <w:rsid w:val="238A348F"/>
    <w:rsid w:val="24170DE9"/>
    <w:rsid w:val="250A26FB"/>
    <w:rsid w:val="25E72D4E"/>
    <w:rsid w:val="26170C2C"/>
    <w:rsid w:val="27F20B48"/>
    <w:rsid w:val="286839C1"/>
    <w:rsid w:val="28793E20"/>
    <w:rsid w:val="297D524A"/>
    <w:rsid w:val="29802F8C"/>
    <w:rsid w:val="29E74DB9"/>
    <w:rsid w:val="2B195446"/>
    <w:rsid w:val="2BD575BF"/>
    <w:rsid w:val="2C5A7AC4"/>
    <w:rsid w:val="2CE90E48"/>
    <w:rsid w:val="2F5702EB"/>
    <w:rsid w:val="30040CD6"/>
    <w:rsid w:val="30CB2D3F"/>
    <w:rsid w:val="313229E9"/>
    <w:rsid w:val="33710EC2"/>
    <w:rsid w:val="33F51635"/>
    <w:rsid w:val="34947125"/>
    <w:rsid w:val="34B34216"/>
    <w:rsid w:val="38FD0155"/>
    <w:rsid w:val="3A1219DE"/>
    <w:rsid w:val="3A560D2E"/>
    <w:rsid w:val="3A914A01"/>
    <w:rsid w:val="3AF46352"/>
    <w:rsid w:val="3AF9494C"/>
    <w:rsid w:val="3BBD1E1E"/>
    <w:rsid w:val="3D89020A"/>
    <w:rsid w:val="3EA64DEB"/>
    <w:rsid w:val="3EE86CEC"/>
    <w:rsid w:val="3F392EA7"/>
    <w:rsid w:val="409E3FCC"/>
    <w:rsid w:val="42D9578F"/>
    <w:rsid w:val="432E715D"/>
    <w:rsid w:val="455A06DD"/>
    <w:rsid w:val="459E4A6E"/>
    <w:rsid w:val="45C51FFB"/>
    <w:rsid w:val="47723ABC"/>
    <w:rsid w:val="49767C75"/>
    <w:rsid w:val="4D986247"/>
    <w:rsid w:val="4F50502B"/>
    <w:rsid w:val="50681F00"/>
    <w:rsid w:val="50AF5D81"/>
    <w:rsid w:val="51CB2747"/>
    <w:rsid w:val="53FC61C8"/>
    <w:rsid w:val="555D2250"/>
    <w:rsid w:val="55C027DF"/>
    <w:rsid w:val="56F50266"/>
    <w:rsid w:val="57CE2F91"/>
    <w:rsid w:val="59831B59"/>
    <w:rsid w:val="59906A4B"/>
    <w:rsid w:val="5A9304C2"/>
    <w:rsid w:val="5ABF3065"/>
    <w:rsid w:val="5B070146"/>
    <w:rsid w:val="5B2335F4"/>
    <w:rsid w:val="5D017965"/>
    <w:rsid w:val="5E856373"/>
    <w:rsid w:val="619F774C"/>
    <w:rsid w:val="636C7B02"/>
    <w:rsid w:val="639A466F"/>
    <w:rsid w:val="649015CE"/>
    <w:rsid w:val="670D5158"/>
    <w:rsid w:val="67F65BEC"/>
    <w:rsid w:val="6A18009C"/>
    <w:rsid w:val="6B633598"/>
    <w:rsid w:val="6C77379F"/>
    <w:rsid w:val="70B56644"/>
    <w:rsid w:val="70F133F4"/>
    <w:rsid w:val="7148395C"/>
    <w:rsid w:val="732C6966"/>
    <w:rsid w:val="747607E0"/>
    <w:rsid w:val="75557C56"/>
    <w:rsid w:val="75BA46FD"/>
    <w:rsid w:val="76236746"/>
    <w:rsid w:val="76AF1D88"/>
    <w:rsid w:val="77534E09"/>
    <w:rsid w:val="79583D0C"/>
    <w:rsid w:val="7AB92EC7"/>
    <w:rsid w:val="7ACC3584"/>
    <w:rsid w:val="7B4C229B"/>
    <w:rsid w:val="7C9066AF"/>
    <w:rsid w:val="7D641B1E"/>
    <w:rsid w:val="7DFA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2">
    <w:name w:val="heading 1"/>
    <w:basedOn w:val="1"/>
    <w:next w:val="1"/>
    <w:link w:val="15"/>
    <w:qFormat/>
    <w:uiPriority w:val="9"/>
    <w:pPr>
      <w:keepNext/>
      <w:keepLines/>
      <w:widowControl w:val="0"/>
      <w:spacing w:before="340" w:after="330" w:line="578" w:lineRule="auto"/>
      <w:jc w:val="both"/>
      <w:outlineLvl w:val="0"/>
    </w:pPr>
    <w:rPr>
      <w:rFonts w:eastAsia="黑体" w:asciiTheme="minorHAnsi" w:hAnsiTheme="minorHAnsi" w:cstheme="minorBidi"/>
      <w:b/>
      <w:bCs/>
      <w:kern w:val="44"/>
      <w:sz w:val="30"/>
      <w:szCs w:val="44"/>
    </w:rPr>
  </w:style>
  <w:style w:type="paragraph" w:styleId="3">
    <w:name w:val="heading 2"/>
    <w:basedOn w:val="1"/>
    <w:next w:val="1"/>
    <w:link w:val="18"/>
    <w:unhideWhenUsed/>
    <w:qFormat/>
    <w:uiPriority w:val="9"/>
    <w:pPr>
      <w:keepNext/>
      <w:keepLines/>
      <w:widowControl w:val="0"/>
      <w:spacing w:before="260" w:after="260" w:line="416" w:lineRule="auto"/>
      <w:jc w:val="both"/>
      <w:outlineLvl w:val="1"/>
    </w:pPr>
    <w:rPr>
      <w:rFonts w:eastAsia="黑体" w:asciiTheme="majorHAnsi" w:hAnsiTheme="majorHAnsi" w:cstheme="majorBidi"/>
      <w:b/>
      <w:bCs/>
      <w:kern w:val="2"/>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annotation text"/>
    <w:basedOn w:val="1"/>
    <w:link w:val="27"/>
    <w:semiHidden/>
    <w:unhideWhenUsed/>
    <w:qFormat/>
    <w:uiPriority w:val="99"/>
  </w:style>
  <w:style w:type="paragraph" w:styleId="6">
    <w:name w:val="footer"/>
    <w:basedOn w:val="1"/>
    <w:link w:val="22"/>
    <w:unhideWhenUsed/>
    <w:qFormat/>
    <w:uiPriority w:val="99"/>
    <w:pPr>
      <w:widowControl w:val="0"/>
      <w:tabs>
        <w:tab w:val="center" w:pos="4153"/>
        <w:tab w:val="right" w:pos="8306"/>
      </w:tabs>
      <w:snapToGrid w:val="0"/>
      <w:spacing w:after="160" w:line="278" w:lineRule="auto"/>
    </w:pPr>
    <w:rPr>
      <w:rFonts w:asciiTheme="minorHAnsi" w:hAnsiTheme="minorHAnsi" w:eastAsiaTheme="minorEastAsia" w:cstheme="minorBidi"/>
      <w:kern w:val="2"/>
      <w:sz w:val="18"/>
      <w:szCs w:val="18"/>
    </w:rPr>
  </w:style>
  <w:style w:type="paragraph" w:styleId="7">
    <w:name w:val="header"/>
    <w:basedOn w:val="1"/>
    <w:link w:val="21"/>
    <w:unhideWhenUsed/>
    <w:qFormat/>
    <w:uiPriority w:val="99"/>
    <w:pPr>
      <w:widowControl w:val="0"/>
      <w:tabs>
        <w:tab w:val="center" w:pos="4153"/>
        <w:tab w:val="right" w:pos="8306"/>
      </w:tabs>
      <w:snapToGrid w:val="0"/>
      <w:spacing w:after="160" w:line="278" w:lineRule="auto"/>
      <w:jc w:val="center"/>
    </w:pPr>
    <w:rPr>
      <w:rFonts w:asciiTheme="minorHAnsi" w:hAnsiTheme="minorHAnsi" w:eastAsiaTheme="minorEastAsia" w:cstheme="minorBidi"/>
      <w:kern w:val="2"/>
      <w:sz w:val="18"/>
      <w:szCs w:val="18"/>
    </w:rPr>
  </w:style>
  <w:style w:type="paragraph" w:styleId="8">
    <w:name w:val="Normal (Web)"/>
    <w:basedOn w:val="1"/>
    <w:unhideWhenUsed/>
    <w:qFormat/>
    <w:uiPriority w:val="99"/>
    <w:pPr>
      <w:spacing w:before="100" w:beforeAutospacing="1" w:after="100" w:afterAutospacing="1" w:line="278" w:lineRule="auto"/>
    </w:pPr>
  </w:style>
  <w:style w:type="paragraph" w:styleId="9">
    <w:name w:val="annotation subject"/>
    <w:basedOn w:val="5"/>
    <w:next w:val="5"/>
    <w:link w:val="28"/>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annotation reference"/>
    <w:basedOn w:val="12"/>
    <w:semiHidden/>
    <w:unhideWhenUsed/>
    <w:qFormat/>
    <w:uiPriority w:val="99"/>
    <w:rPr>
      <w:sz w:val="21"/>
      <w:szCs w:val="21"/>
    </w:rPr>
  </w:style>
  <w:style w:type="character" w:customStyle="1" w:styleId="15">
    <w:name w:val="标题 1 字符"/>
    <w:basedOn w:val="12"/>
    <w:link w:val="2"/>
    <w:qFormat/>
    <w:uiPriority w:val="9"/>
    <w:rPr>
      <w:rFonts w:eastAsia="黑体"/>
      <w:b/>
      <w:bCs/>
      <w:kern w:val="44"/>
      <w:sz w:val="30"/>
      <w:szCs w:val="44"/>
    </w:rPr>
  </w:style>
  <w:style w:type="paragraph" w:customStyle="1" w:styleId="16">
    <w:name w:val="样式1"/>
    <w:basedOn w:val="3"/>
    <w:link w:val="17"/>
    <w:qFormat/>
    <w:uiPriority w:val="0"/>
    <w:rPr>
      <w:rFonts w:ascii="黑体" w:hAnsi="黑体"/>
      <w:szCs w:val="28"/>
    </w:rPr>
  </w:style>
  <w:style w:type="character" w:customStyle="1" w:styleId="17">
    <w:name w:val="样式1 字符"/>
    <w:basedOn w:val="18"/>
    <w:link w:val="16"/>
    <w:qFormat/>
    <w:uiPriority w:val="0"/>
    <w:rPr>
      <w:rFonts w:ascii="黑体" w:hAnsi="黑体" w:eastAsia="黑体" w:cstheme="majorBidi"/>
      <w:sz w:val="28"/>
      <w:szCs w:val="28"/>
    </w:rPr>
  </w:style>
  <w:style w:type="character" w:customStyle="1" w:styleId="18">
    <w:name w:val="标题 2 字符"/>
    <w:basedOn w:val="12"/>
    <w:link w:val="3"/>
    <w:qFormat/>
    <w:uiPriority w:val="9"/>
    <w:rPr>
      <w:rFonts w:eastAsia="黑体" w:asciiTheme="majorHAnsi" w:hAnsiTheme="majorHAnsi" w:cstheme="majorBidi"/>
      <w:b/>
      <w:bCs/>
      <w:sz w:val="28"/>
      <w:szCs w:val="32"/>
    </w:rPr>
  </w:style>
  <w:style w:type="paragraph" w:customStyle="1" w:styleId="19">
    <w:name w:val="普通宋体五号字正文"/>
    <w:basedOn w:val="1"/>
    <w:link w:val="20"/>
    <w:qFormat/>
    <w:uiPriority w:val="0"/>
    <w:pPr>
      <w:widowControl w:val="0"/>
      <w:spacing w:after="160" w:line="278" w:lineRule="auto"/>
      <w:jc w:val="center"/>
    </w:pPr>
    <w:rPr>
      <w:rFonts w:cstheme="minorBidi"/>
      <w:kern w:val="2"/>
      <w:sz w:val="21"/>
    </w:rPr>
  </w:style>
  <w:style w:type="character" w:customStyle="1" w:styleId="20">
    <w:name w:val="普通宋体五号字正文 字符"/>
    <w:basedOn w:val="12"/>
    <w:link w:val="19"/>
    <w:qFormat/>
    <w:uiPriority w:val="0"/>
    <w:rPr>
      <w:rFonts w:ascii="宋体" w:hAnsi="宋体" w:eastAsia="宋体"/>
    </w:rPr>
  </w:style>
  <w:style w:type="character" w:customStyle="1" w:styleId="21">
    <w:name w:val="页眉 字符"/>
    <w:basedOn w:val="12"/>
    <w:link w:val="7"/>
    <w:qFormat/>
    <w:uiPriority w:val="99"/>
    <w:rPr>
      <w:sz w:val="18"/>
      <w:szCs w:val="18"/>
    </w:rPr>
  </w:style>
  <w:style w:type="character" w:customStyle="1" w:styleId="22">
    <w:name w:val="页脚 字符"/>
    <w:basedOn w:val="12"/>
    <w:link w:val="6"/>
    <w:qFormat/>
    <w:uiPriority w:val="99"/>
    <w:rPr>
      <w:sz w:val="18"/>
      <w:szCs w:val="18"/>
    </w:rPr>
  </w:style>
  <w:style w:type="paragraph" w:customStyle="1" w:styleId="23">
    <w:name w:val="列表段落1"/>
    <w:basedOn w:val="1"/>
    <w:qFormat/>
    <w:uiPriority w:val="34"/>
    <w:pPr>
      <w:widowControl w:val="0"/>
      <w:spacing w:after="160" w:line="278" w:lineRule="auto"/>
      <w:ind w:firstLine="420" w:firstLineChars="200"/>
      <w:jc w:val="both"/>
    </w:pPr>
    <w:rPr>
      <w:rFonts w:asciiTheme="minorHAnsi" w:hAnsiTheme="minorHAnsi" w:eastAsiaTheme="minorEastAsia" w:cstheme="minorBidi"/>
      <w:kern w:val="2"/>
      <w:sz w:val="21"/>
    </w:rPr>
  </w:style>
  <w:style w:type="character" w:customStyle="1" w:styleId="24">
    <w:name w:val="font61"/>
    <w:basedOn w:val="12"/>
    <w:qFormat/>
    <w:uiPriority w:val="0"/>
    <w:rPr>
      <w:rFonts w:hint="eastAsia" w:ascii="微软雅黑" w:hAnsi="微软雅黑" w:eastAsia="微软雅黑" w:cs="微软雅黑"/>
      <w:b/>
      <w:bCs/>
      <w:color w:val="000000"/>
      <w:sz w:val="22"/>
      <w:szCs w:val="22"/>
      <w:u w:val="none"/>
    </w:rPr>
  </w:style>
  <w:style w:type="character" w:customStyle="1" w:styleId="25">
    <w:name w:val="font41"/>
    <w:basedOn w:val="12"/>
    <w:qFormat/>
    <w:uiPriority w:val="0"/>
    <w:rPr>
      <w:rFonts w:hint="eastAsia" w:ascii="微软雅黑" w:hAnsi="微软雅黑" w:eastAsia="微软雅黑" w:cs="微软雅黑"/>
      <w:b/>
      <w:bCs/>
      <w:color w:val="000000"/>
      <w:sz w:val="22"/>
      <w:szCs w:val="22"/>
      <w:u w:val="none"/>
    </w:rPr>
  </w:style>
  <w:style w:type="paragraph" w:customStyle="1" w:styleId="26">
    <w:name w:val="Revision"/>
    <w:hidden/>
    <w:unhideWhenUsed/>
    <w:qFormat/>
    <w:uiPriority w:val="99"/>
    <w:rPr>
      <w:rFonts w:ascii="宋体" w:hAnsi="宋体" w:eastAsia="宋体" w:cs="宋体"/>
      <w:sz w:val="24"/>
      <w:szCs w:val="24"/>
      <w:lang w:val="en-US" w:eastAsia="zh-CN" w:bidi="ar-SA"/>
    </w:rPr>
  </w:style>
  <w:style w:type="character" w:customStyle="1" w:styleId="27">
    <w:name w:val="批注文字 字符"/>
    <w:basedOn w:val="12"/>
    <w:link w:val="5"/>
    <w:semiHidden/>
    <w:qFormat/>
    <w:uiPriority w:val="99"/>
    <w:rPr>
      <w:rFonts w:ascii="宋体" w:hAnsi="宋体" w:cs="宋体"/>
      <w:sz w:val="24"/>
      <w:szCs w:val="24"/>
    </w:rPr>
  </w:style>
  <w:style w:type="character" w:customStyle="1" w:styleId="28">
    <w:name w:val="批注主题 字符"/>
    <w:basedOn w:val="27"/>
    <w:link w:val="9"/>
    <w:semiHidden/>
    <w:qFormat/>
    <w:uiPriority w:val="99"/>
    <w:rPr>
      <w:rFonts w:ascii="宋体" w:hAnsi="宋体" w:cs="宋体"/>
      <w:b/>
      <w:bCs/>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2D1CA-4F7C-43AF-9D12-49C29006DFD5}">
  <ds:schemaRefs/>
</ds:datastoreItem>
</file>

<file path=docProps/app.xml><?xml version="1.0" encoding="utf-8"?>
<Properties xmlns="http://schemas.openxmlformats.org/officeDocument/2006/extended-properties" xmlns:vt="http://schemas.openxmlformats.org/officeDocument/2006/docPropsVTypes">
  <Template>Normal</Template>
  <Pages>8</Pages>
  <Words>3832</Words>
  <Characters>3979</Characters>
  <Lines>31</Lines>
  <Paragraphs>8</Paragraphs>
  <TotalTime>8</TotalTime>
  <ScaleCrop>false</ScaleCrop>
  <LinksUpToDate>false</LinksUpToDate>
  <CharactersWithSpaces>3995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2024-09-06T10:20:00Z</dcterms:created>
  <dc:creator>Jeff Yang</dc:creator>
  <cp:lastModifiedBy>吴亮</cp:lastModifiedBy>
  <dcterms:modified xsi:type="dcterms:W3CDTF">2024-09-25T07:59:47Z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6156F27DB1C44DB58A769DBA80562D84_12</vt:lpwstr>
  </property>
</Properties>
</file>